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/>
        </w:rPr>
      </w:pPr>
      <w:bookmarkStart w:id="0" w:name="_GoBack"/>
      <w:r>
        <w:rPr>
          <w:rFonts w:hint="eastAsia" w:ascii="仿宋_GB2312" w:hAnsi="仿宋_GB2312" w:eastAsia="仿宋_GB2312" w:cs="仿宋_GB2312"/>
        </w:rPr>
        <w:t>储物室（仓库）</w:t>
      </w:r>
      <w:r>
        <w:rPr>
          <w:rFonts w:hint="eastAsia" w:ascii="仿宋_GB2312" w:hAnsi="宋体" w:cs="宋体"/>
          <w:kern w:val="0"/>
          <w:szCs w:val="32"/>
        </w:rPr>
        <w:t>汇总登记表</w:t>
      </w:r>
    </w:p>
    <w:bookmarkEnd w:id="0"/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单位（部门）：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u w:val="none"/>
          <w:lang w:val="en-US" w:eastAsia="zh-CN"/>
        </w:rPr>
        <w:t xml:space="preserve">         主要负责签字：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u w:val="none"/>
          <w:lang w:val="en-US" w:eastAsia="zh-CN"/>
        </w:rPr>
        <w:t xml:space="preserve">            制表日期：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025"/>
        <w:gridCol w:w="3750"/>
        <w:gridCol w:w="1875"/>
        <w:gridCol w:w="1830"/>
        <w:gridCol w:w="1537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Merge w:val="restart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25" w:type="dxa"/>
            <w:vMerge w:val="restart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  <w:t>储物室（仓库）</w:t>
            </w:r>
          </w:p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  <w:t>房间号</w:t>
            </w:r>
          </w:p>
        </w:tc>
        <w:tc>
          <w:tcPr>
            <w:tcW w:w="3750" w:type="dxa"/>
            <w:vMerge w:val="restart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  <w:t>主要储存物</w:t>
            </w:r>
          </w:p>
        </w:tc>
        <w:tc>
          <w:tcPr>
            <w:tcW w:w="3705" w:type="dxa"/>
            <w:gridSpan w:val="2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  <w:t>灭火器配置需求及数量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  <w:t>责任人</w:t>
            </w:r>
          </w:p>
        </w:tc>
        <w:tc>
          <w:tcPr>
            <w:tcW w:w="2025" w:type="dxa"/>
            <w:vMerge w:val="restart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vMerge w:val="continue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  <w:t>是否需求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  <w:t>需求数量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F6A09"/>
    <w:rsid w:val="239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3"/>
    <w:next w:val="3"/>
    <w:qFormat/>
    <w:uiPriority w:val="0"/>
    <w:pPr>
      <w:spacing w:before="0" w:after="0" w:line="415" w:lineRule="auto"/>
      <w:jc w:val="center"/>
      <w:outlineLvl w:val="2"/>
    </w:pPr>
    <w:rPr>
      <w:rFonts w:ascii="Cambria" w:hAnsi="Cambria" w:eastAsia="仿宋" w:cs="Times New Roman"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2019-03-27T03:44:00Z</dcterms:created>
  <dc:creator>LYZ</dc:creator>
  <cp:lastModifiedBy>LYZ</cp:lastModifiedBy>
  <dcterms:modified xsi:type="dcterms:W3CDTF">2019-03-27T03:44:48Z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