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4D" w:rsidRDefault="000C054D" w:rsidP="000C054D">
      <w:pPr>
        <w:pStyle w:val="1"/>
        <w:numPr>
          <w:ilvl w:val="0"/>
          <w:numId w:val="0"/>
        </w:numPr>
        <w:spacing w:afterLines="100" w:after="312"/>
        <w:rPr>
          <w:rFonts w:ascii="仿宋" w:eastAsia="仿宋" w:hAnsi="仿宋" w:cs="仿宋"/>
          <w:b/>
          <w:bCs/>
          <w:sz w:val="44"/>
          <w:szCs w:val="44"/>
        </w:rPr>
      </w:pPr>
      <w:bookmarkStart w:id="0" w:name="_Toc15865"/>
      <w:bookmarkStart w:id="1" w:name="_Toc27221"/>
      <w:bookmarkStart w:id="2" w:name="_Toc22618"/>
      <w:bookmarkStart w:id="3" w:name="_Toc14292"/>
      <w:bookmarkStart w:id="4" w:name="_Toc8846"/>
      <w:bookmarkStart w:id="5" w:name="_Toc13261"/>
      <w:bookmarkStart w:id="6" w:name="_Toc22384"/>
      <w:r>
        <w:rPr>
          <w:rFonts w:ascii="仿宋" w:eastAsia="仿宋" w:hAnsi="仿宋" w:cs="仿宋" w:hint="eastAsia"/>
          <w:b/>
          <w:bCs/>
          <w:sz w:val="44"/>
          <w:szCs w:val="44"/>
        </w:rPr>
        <w:t>项目需求</w:t>
      </w:r>
      <w:bookmarkEnd w:id="0"/>
      <w:bookmarkEnd w:id="1"/>
      <w:bookmarkEnd w:id="2"/>
      <w:bookmarkEnd w:id="3"/>
      <w:bookmarkEnd w:id="4"/>
      <w:bookmarkEnd w:id="5"/>
      <w:bookmarkEnd w:id="6"/>
    </w:p>
    <w:p w:rsidR="000C054D" w:rsidRDefault="000C054D" w:rsidP="000C054D">
      <w:pPr>
        <w:pStyle w:val="2"/>
        <w:numPr>
          <w:ilvl w:val="0"/>
          <w:numId w:val="2"/>
        </w:numPr>
        <w:spacing w:before="0" w:after="0" w:line="360" w:lineRule="auto"/>
        <w:ind w:firstLine="0"/>
        <w:jc w:val="both"/>
        <w:rPr>
          <w:rFonts w:ascii="仿宋" w:eastAsia="仿宋" w:hAnsi="仿宋" w:cs="仿宋"/>
          <w:sz w:val="28"/>
          <w:szCs w:val="28"/>
        </w:rPr>
      </w:pPr>
      <w:bookmarkStart w:id="7" w:name="_Toc25792"/>
      <w:r>
        <w:rPr>
          <w:rFonts w:ascii="仿宋" w:eastAsia="仿宋" w:hAnsi="仿宋" w:cs="仿宋" w:hint="eastAsia"/>
          <w:sz w:val="28"/>
          <w:szCs w:val="28"/>
        </w:rPr>
        <w:t>项目概况</w:t>
      </w:r>
      <w:bookmarkEnd w:id="7"/>
    </w:p>
    <w:p w:rsidR="000C054D" w:rsidRDefault="000C054D" w:rsidP="000C054D">
      <w:pPr>
        <w:pStyle w:val="a4"/>
        <w:spacing w:line="360" w:lineRule="auto"/>
        <w:ind w:firstLine="482"/>
        <w:rPr>
          <w:rFonts w:ascii="仿宋" w:eastAsia="仿宋" w:hAnsi="仿宋" w:cs="仿宋"/>
          <w:b/>
          <w:bCs/>
          <w:sz w:val="24"/>
          <w:szCs w:val="24"/>
          <w:u w:val="single"/>
          <w:lang w:val="en-US"/>
        </w:rPr>
      </w:pPr>
      <w:bookmarkStart w:id="8" w:name="_Toc26169"/>
      <w:r w:rsidRPr="00191DE2">
        <w:rPr>
          <w:rFonts w:ascii="仿宋" w:eastAsia="仿宋" w:hAnsi="仿宋" w:cs="仿宋" w:hint="eastAsia"/>
          <w:b/>
          <w:bCs/>
          <w:sz w:val="24"/>
          <w:szCs w:val="24"/>
          <w:u w:val="single"/>
          <w:lang w:val="en-US"/>
        </w:rPr>
        <w:t>南京特殊教育师范学院栖霞</w:t>
      </w:r>
      <w:r>
        <w:rPr>
          <w:rFonts w:ascii="仿宋" w:eastAsia="仿宋" w:hAnsi="仿宋" w:cs="仿宋"/>
          <w:b/>
          <w:bCs/>
          <w:sz w:val="24"/>
          <w:szCs w:val="24"/>
          <w:u w:val="single"/>
          <w:lang w:val="en-US"/>
        </w:rPr>
        <w:t>校区位于南京</w:t>
      </w:r>
      <w:r>
        <w:rPr>
          <w:rFonts w:ascii="仿宋" w:eastAsia="仿宋" w:hAnsi="仿宋" w:cs="仿宋" w:hint="eastAsia"/>
          <w:b/>
          <w:bCs/>
          <w:sz w:val="24"/>
          <w:szCs w:val="24"/>
          <w:u w:val="single"/>
          <w:lang w:val="en-US"/>
        </w:rPr>
        <w:t>市栖霞区</w:t>
      </w:r>
      <w:r>
        <w:rPr>
          <w:rFonts w:ascii="仿宋" w:eastAsia="仿宋" w:hAnsi="仿宋" w:cs="仿宋"/>
          <w:b/>
          <w:bCs/>
          <w:sz w:val="24"/>
          <w:szCs w:val="24"/>
          <w:u w:val="single"/>
          <w:lang w:val="en-US"/>
        </w:rPr>
        <w:t>，占地</w:t>
      </w:r>
      <w:r>
        <w:rPr>
          <w:rFonts w:ascii="仿宋" w:eastAsia="仿宋" w:hAnsi="仿宋" w:cs="仿宋" w:hint="eastAsia"/>
          <w:b/>
          <w:bCs/>
          <w:sz w:val="24"/>
          <w:szCs w:val="24"/>
          <w:u w:val="single"/>
          <w:lang w:val="en-US"/>
        </w:rPr>
        <w:t>300余</w:t>
      </w:r>
      <w:r>
        <w:rPr>
          <w:rFonts w:ascii="仿宋" w:eastAsia="仿宋" w:hAnsi="仿宋" w:cs="仿宋"/>
          <w:b/>
          <w:bCs/>
          <w:sz w:val="24"/>
          <w:szCs w:val="24"/>
          <w:u w:val="single"/>
          <w:lang w:val="en-US"/>
        </w:rPr>
        <w:t>亩</w:t>
      </w:r>
      <w:r>
        <w:rPr>
          <w:rFonts w:ascii="仿宋" w:eastAsia="仿宋" w:hAnsi="仿宋" w:cs="仿宋" w:hint="eastAsia"/>
          <w:b/>
          <w:bCs/>
          <w:sz w:val="24"/>
          <w:szCs w:val="24"/>
          <w:u w:val="single"/>
          <w:lang w:val="en-US"/>
        </w:rPr>
        <w:t>，图书馆、实验实训大楼建筑面积4万平方，具备自动化消控设备。</w:t>
      </w:r>
    </w:p>
    <w:bookmarkEnd w:id="8"/>
    <w:p w:rsidR="000C054D" w:rsidRDefault="000C054D" w:rsidP="000C054D">
      <w:pPr>
        <w:pStyle w:val="2"/>
        <w:numPr>
          <w:ilvl w:val="0"/>
          <w:numId w:val="2"/>
        </w:numPr>
        <w:spacing w:before="0" w:after="0" w:line="360" w:lineRule="auto"/>
        <w:ind w:firstLine="0"/>
        <w:jc w:val="both"/>
        <w:rPr>
          <w:rFonts w:ascii="仿宋" w:eastAsia="仿宋" w:hAnsi="仿宋" w:cs="仿宋"/>
          <w:sz w:val="28"/>
          <w:szCs w:val="28"/>
        </w:rPr>
      </w:pPr>
      <w:r>
        <w:rPr>
          <w:rFonts w:ascii="仿宋" w:eastAsia="仿宋" w:hAnsi="仿宋" w:cs="仿宋" w:hint="eastAsia"/>
          <w:sz w:val="28"/>
          <w:szCs w:val="28"/>
        </w:rPr>
        <w:t>维保服务内容</w:t>
      </w:r>
    </w:p>
    <w:p w:rsidR="000C054D" w:rsidRDefault="000C054D" w:rsidP="000C054D">
      <w:pPr>
        <w:pStyle w:val="a4"/>
        <w:spacing w:line="360" w:lineRule="auto"/>
        <w:ind w:firstLine="480"/>
        <w:rPr>
          <w:rFonts w:ascii="仿宋" w:eastAsia="仿宋" w:hAnsi="仿宋" w:cs="仿宋"/>
          <w:sz w:val="24"/>
          <w:szCs w:val="24"/>
          <w:lang w:val="en-US"/>
        </w:rPr>
      </w:pPr>
      <w:bookmarkStart w:id="9" w:name="_Toc22174"/>
      <w:r>
        <w:rPr>
          <w:rFonts w:ascii="仿宋" w:eastAsia="仿宋" w:hAnsi="仿宋" w:cs="仿宋" w:hint="eastAsia"/>
          <w:sz w:val="24"/>
          <w:szCs w:val="24"/>
          <w:lang w:val="en-US"/>
        </w:rPr>
        <w:t>本项目维保服务内容包含但不限于保障相应校区消防供配电设施、火灾自动报警系统、消防供水设施、室内（外）消火栓、自动跟踪射流灭火系统、自动喷水灭火系统、泡沫灭火系统、气体灭火系统、防排烟系统、火灾应急照明和疏散指示标志、应急广播系统、消防电话、防火分隔设施、消防电梯、细水雾灭火系统、干粉灭火系统、电气火灾监控系统、可燃气体探测报警系统、防火门监控系统、灭火器及其他建筑消防设施等所有消防设施设备的整体正常运行和维修保养，</w:t>
      </w:r>
      <w:r>
        <w:rPr>
          <w:rFonts w:ascii="仿宋" w:eastAsia="仿宋" w:hAnsi="仿宋" w:cs="仿宋" w:hint="eastAsia"/>
          <w:sz w:val="24"/>
          <w:szCs w:val="24"/>
        </w:rPr>
        <w:t>江苏省社会单位消防安全管理系统维护等</w:t>
      </w:r>
      <w:r>
        <w:rPr>
          <w:rFonts w:ascii="仿宋" w:eastAsia="仿宋" w:hAnsi="仿宋" w:cs="仿宋" w:hint="eastAsia"/>
          <w:sz w:val="24"/>
          <w:szCs w:val="24"/>
          <w:lang w:val="en-US"/>
        </w:rPr>
        <w:t>。</w:t>
      </w:r>
    </w:p>
    <w:p w:rsidR="000C054D" w:rsidRDefault="000C054D" w:rsidP="000C054D">
      <w:pPr>
        <w:ind w:firstLineChars="200" w:firstLine="480"/>
        <w:rPr>
          <w:rFonts w:ascii="仿宋" w:eastAsia="仿宋" w:hAnsi="仿宋" w:cs="仿宋"/>
          <w:bCs/>
        </w:rPr>
      </w:pPr>
      <w:r>
        <w:rPr>
          <w:rFonts w:ascii="仿宋" w:eastAsia="仿宋" w:hAnsi="仿宋" w:cs="仿宋" w:hint="eastAsia"/>
          <w:sz w:val="24"/>
          <w:szCs w:val="24"/>
        </w:rPr>
        <w:t>质保期内的消防设施设备维修由质保单位负责，维保单位做好消防设施设备的巡查、检测和保养</w:t>
      </w:r>
      <w:r>
        <w:rPr>
          <w:rFonts w:ascii="仿宋" w:eastAsia="仿宋" w:hAnsi="仿宋" w:cs="仿宋" w:hint="eastAsia"/>
          <w:bCs/>
          <w:sz w:val="24"/>
        </w:rPr>
        <w:t>。</w:t>
      </w:r>
    </w:p>
    <w:p w:rsidR="000C054D" w:rsidRDefault="000C054D" w:rsidP="000C054D">
      <w:pPr>
        <w:pStyle w:val="2"/>
        <w:numPr>
          <w:ilvl w:val="0"/>
          <w:numId w:val="2"/>
        </w:numPr>
        <w:spacing w:before="0" w:after="0" w:line="360" w:lineRule="auto"/>
        <w:ind w:firstLine="0"/>
        <w:jc w:val="both"/>
        <w:rPr>
          <w:rFonts w:ascii="仿宋" w:eastAsia="仿宋" w:hAnsi="仿宋" w:cs="仿宋"/>
          <w:sz w:val="28"/>
          <w:szCs w:val="28"/>
        </w:rPr>
      </w:pPr>
      <w:r>
        <w:rPr>
          <w:rFonts w:ascii="仿宋" w:eastAsia="仿宋" w:hAnsi="仿宋" w:cs="仿宋" w:hint="eastAsia"/>
          <w:sz w:val="28"/>
          <w:szCs w:val="28"/>
        </w:rPr>
        <w:t>维护保养规程要求</w:t>
      </w:r>
    </w:p>
    <w:p w:rsidR="000C054D" w:rsidRDefault="000C054D" w:rsidP="000C054D">
      <w:pPr>
        <w:pStyle w:val="a5"/>
        <w:spacing w:line="360" w:lineRule="auto"/>
        <w:ind w:firstLine="480"/>
        <w:rPr>
          <w:rFonts w:ascii="仿宋" w:eastAsia="仿宋" w:hAnsi="仿宋" w:cs="仿宋"/>
          <w:bCs/>
          <w:sz w:val="24"/>
          <w:szCs w:val="24"/>
        </w:rPr>
      </w:pPr>
      <w:r>
        <w:rPr>
          <w:rFonts w:ascii="仿宋" w:eastAsia="仿宋" w:hAnsi="仿宋" w:cs="仿宋" w:hint="eastAsia"/>
          <w:bCs/>
          <w:sz w:val="24"/>
          <w:szCs w:val="24"/>
        </w:rPr>
        <w:t>根据《中华人民共和国消防法》《社会消防技术服务管理规定（公安部令第136号）》《江苏省消防条例》及江苏省《建筑消防设施维护保养规程》（DB32/T4696-2024），投标供应商应当依照法律法规、技术标准和执业准则开展社会消防技术服务活动，并对服务质量负责，否则将依法依规承担相应法律责任。</w:t>
      </w:r>
    </w:p>
    <w:p w:rsidR="000C054D" w:rsidRDefault="000C054D" w:rsidP="000C054D">
      <w:pPr>
        <w:pStyle w:val="a5"/>
        <w:spacing w:line="360" w:lineRule="auto"/>
        <w:ind w:firstLine="480"/>
        <w:rPr>
          <w:rFonts w:ascii="仿宋" w:eastAsia="仿宋" w:hAnsi="仿宋" w:cs="仿宋"/>
          <w:bCs/>
          <w:sz w:val="24"/>
          <w:szCs w:val="24"/>
        </w:rPr>
      </w:pPr>
      <w:r>
        <w:rPr>
          <w:rFonts w:ascii="仿宋" w:eastAsia="仿宋" w:hAnsi="仿宋" w:cs="仿宋" w:hint="eastAsia"/>
          <w:bCs/>
          <w:sz w:val="24"/>
          <w:szCs w:val="24"/>
        </w:rPr>
        <w:t>除规范要求外，增加对于室内（外）消火栓进行放水功能测试，按照每月10%、服务周期内全部覆盖的频率要求执行。</w:t>
      </w:r>
    </w:p>
    <w:p w:rsidR="000C054D" w:rsidRDefault="000C054D" w:rsidP="000C054D">
      <w:pPr>
        <w:pStyle w:val="2"/>
        <w:numPr>
          <w:ilvl w:val="0"/>
          <w:numId w:val="2"/>
        </w:numPr>
        <w:spacing w:before="0" w:after="0" w:line="360" w:lineRule="auto"/>
        <w:ind w:firstLine="0"/>
        <w:jc w:val="both"/>
        <w:rPr>
          <w:rFonts w:ascii="仿宋" w:eastAsia="仿宋" w:hAnsi="仿宋" w:cs="仿宋"/>
          <w:sz w:val="28"/>
          <w:szCs w:val="28"/>
        </w:rPr>
      </w:pPr>
      <w:r>
        <w:rPr>
          <w:rFonts w:ascii="仿宋" w:eastAsia="仿宋" w:hAnsi="仿宋" w:cs="仿宋" w:hint="eastAsia"/>
          <w:sz w:val="28"/>
          <w:szCs w:val="28"/>
        </w:rPr>
        <w:t>服务要求</w:t>
      </w:r>
    </w:p>
    <w:p w:rsidR="000C054D" w:rsidRDefault="000C054D" w:rsidP="000C054D">
      <w:pPr>
        <w:wordWrap w:val="0"/>
        <w:spacing w:line="360" w:lineRule="auto"/>
        <w:outlineLvl w:val="2"/>
        <w:rPr>
          <w:rFonts w:ascii="仿宋" w:eastAsia="仿宋" w:hAnsi="仿宋" w:cs="仿宋"/>
          <w:b/>
          <w:bCs/>
          <w:kern w:val="0"/>
          <w:sz w:val="24"/>
          <w:szCs w:val="24"/>
          <w:lang w:val="zh-CN"/>
        </w:rPr>
      </w:pPr>
      <w:bookmarkStart w:id="10" w:name="_Toc52476262"/>
      <w:r>
        <w:rPr>
          <w:rFonts w:ascii="仿宋" w:eastAsia="仿宋" w:hAnsi="仿宋" w:cs="仿宋" w:hint="eastAsia"/>
          <w:b/>
          <w:bCs/>
          <w:kern w:val="0"/>
          <w:sz w:val="24"/>
          <w:szCs w:val="24"/>
          <w:lang w:val="zh-CN"/>
        </w:rPr>
        <w:t>（</w:t>
      </w:r>
      <w:r>
        <w:rPr>
          <w:rFonts w:ascii="仿宋" w:eastAsia="仿宋" w:hAnsi="仿宋" w:cs="仿宋" w:hint="eastAsia"/>
          <w:b/>
          <w:bCs/>
          <w:kern w:val="0"/>
          <w:sz w:val="24"/>
          <w:szCs w:val="24"/>
        </w:rPr>
        <w:t>一</w:t>
      </w:r>
      <w:r>
        <w:rPr>
          <w:rFonts w:ascii="仿宋" w:eastAsia="仿宋" w:hAnsi="仿宋" w:cs="仿宋" w:hint="eastAsia"/>
          <w:b/>
          <w:bCs/>
          <w:kern w:val="0"/>
          <w:sz w:val="24"/>
          <w:szCs w:val="24"/>
          <w:lang w:val="zh-CN"/>
        </w:rPr>
        <w:t>）响应时间及维修排故要求</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负责合同范围内的消防设施日常维护、巡查，维修一般故障应在</w:t>
      </w:r>
      <w:r>
        <w:rPr>
          <w:rFonts w:ascii="仿宋" w:eastAsia="仿宋" w:hAnsi="仿宋" w:cs="仿宋" w:hint="eastAsia"/>
          <w:b/>
          <w:bCs/>
          <w:kern w:val="0"/>
          <w:sz w:val="24"/>
          <w:szCs w:val="24"/>
          <w:lang w:val="zh-CN"/>
        </w:rPr>
        <w:t>2</w:t>
      </w:r>
      <w:r>
        <w:rPr>
          <w:rFonts w:ascii="仿宋" w:eastAsia="仿宋" w:hAnsi="仿宋" w:cs="仿宋" w:hint="eastAsia"/>
          <w:kern w:val="0"/>
          <w:sz w:val="24"/>
          <w:szCs w:val="24"/>
          <w:lang w:val="zh-CN"/>
        </w:rPr>
        <w:t>小时内做出响应并处置完毕；对重大、复杂故障排除，应该在</w:t>
      </w:r>
      <w:r>
        <w:rPr>
          <w:rFonts w:ascii="仿宋" w:eastAsia="仿宋" w:hAnsi="仿宋" w:cs="仿宋" w:hint="eastAsia"/>
          <w:b/>
          <w:bCs/>
          <w:kern w:val="0"/>
          <w:sz w:val="24"/>
          <w:szCs w:val="24"/>
          <w:lang w:val="zh-CN"/>
        </w:rPr>
        <w:t>24</w:t>
      </w:r>
      <w:r>
        <w:rPr>
          <w:rFonts w:ascii="仿宋" w:eastAsia="仿宋" w:hAnsi="仿宋" w:cs="仿宋" w:hint="eastAsia"/>
          <w:kern w:val="0"/>
          <w:sz w:val="24"/>
          <w:szCs w:val="24"/>
          <w:lang w:val="zh-CN"/>
        </w:rPr>
        <w:t>小时内提出处置方案并修复；当需超过</w:t>
      </w:r>
      <w:r>
        <w:rPr>
          <w:rFonts w:ascii="仿宋" w:eastAsia="仿宋" w:hAnsi="仿宋" w:cs="仿宋" w:hint="eastAsia"/>
          <w:b/>
          <w:bCs/>
          <w:kern w:val="0"/>
          <w:sz w:val="24"/>
          <w:szCs w:val="24"/>
          <w:lang w:val="zh-CN"/>
        </w:rPr>
        <w:t>2</w:t>
      </w:r>
      <w:r>
        <w:rPr>
          <w:rFonts w:ascii="仿宋" w:eastAsia="仿宋" w:hAnsi="仿宋" w:cs="仿宋" w:hint="eastAsia"/>
          <w:kern w:val="0"/>
          <w:sz w:val="24"/>
          <w:szCs w:val="24"/>
          <w:lang w:val="zh-CN"/>
        </w:rPr>
        <w:t>天尚无法修复时，需书面通知校方，增加日常管理人员与维保单位工作人员一同做好维修期间的安全防范，同时维保方增加技术力量，尽快修复故障。如果维保方维修不及时，校方可以请第三方开展维修，所发生维修费用</w:t>
      </w:r>
      <w:r>
        <w:rPr>
          <w:rFonts w:ascii="仿宋" w:eastAsia="仿宋" w:hAnsi="仿宋" w:cs="仿宋" w:hint="eastAsia"/>
          <w:kern w:val="0"/>
          <w:sz w:val="24"/>
          <w:szCs w:val="24"/>
          <w:lang w:val="zh-CN"/>
        </w:rPr>
        <w:lastRenderedPageBreak/>
        <w:t>从维保费用中扣除；更换消防设施</w:t>
      </w:r>
      <w:r>
        <w:rPr>
          <w:rFonts w:ascii="仿宋" w:eastAsia="仿宋" w:hAnsi="仿宋" w:cs="仿宋" w:hint="eastAsia"/>
          <w:b/>
          <w:bCs/>
          <w:kern w:val="0"/>
          <w:sz w:val="24"/>
          <w:szCs w:val="24"/>
          <w:lang w:val="zh-CN"/>
        </w:rPr>
        <w:t>5</w:t>
      </w:r>
      <w:r>
        <w:rPr>
          <w:rFonts w:ascii="仿宋" w:eastAsia="仿宋" w:hAnsi="仿宋" w:cs="仿宋" w:hint="eastAsia"/>
          <w:kern w:val="0"/>
          <w:sz w:val="24"/>
          <w:szCs w:val="24"/>
          <w:lang w:val="zh-CN"/>
        </w:rPr>
        <w:t>个工作日内完成。</w:t>
      </w:r>
    </w:p>
    <w:p w:rsidR="000C054D" w:rsidRDefault="000C054D" w:rsidP="000C054D">
      <w:pPr>
        <w:wordWrap w:val="0"/>
        <w:spacing w:line="360" w:lineRule="auto"/>
        <w:outlineLvl w:val="2"/>
        <w:rPr>
          <w:rFonts w:ascii="仿宋" w:eastAsia="仿宋" w:hAnsi="仿宋" w:cs="仿宋"/>
          <w:b/>
          <w:bCs/>
          <w:kern w:val="0"/>
          <w:sz w:val="24"/>
          <w:szCs w:val="24"/>
          <w:lang w:val="zh-CN"/>
        </w:rPr>
      </w:pPr>
      <w:r>
        <w:rPr>
          <w:rFonts w:ascii="仿宋" w:eastAsia="仿宋" w:hAnsi="仿宋" w:cs="仿宋" w:hint="eastAsia"/>
          <w:b/>
          <w:bCs/>
          <w:kern w:val="0"/>
          <w:sz w:val="24"/>
          <w:szCs w:val="24"/>
          <w:lang w:val="zh-CN"/>
        </w:rPr>
        <w:t>（</w:t>
      </w:r>
      <w:r>
        <w:rPr>
          <w:rFonts w:ascii="仿宋" w:eastAsia="仿宋" w:hAnsi="仿宋" w:cs="仿宋" w:hint="eastAsia"/>
          <w:b/>
          <w:bCs/>
          <w:kern w:val="0"/>
          <w:sz w:val="24"/>
          <w:szCs w:val="24"/>
        </w:rPr>
        <w:t>二</w:t>
      </w:r>
      <w:r>
        <w:rPr>
          <w:rFonts w:ascii="仿宋" w:eastAsia="仿宋" w:hAnsi="仿宋" w:cs="仿宋" w:hint="eastAsia"/>
          <w:b/>
          <w:bCs/>
          <w:kern w:val="0"/>
          <w:sz w:val="24"/>
          <w:szCs w:val="24"/>
          <w:lang w:val="zh-CN"/>
        </w:rPr>
        <w:t>）服务人员要求</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1.学校临时举行重大活动期间，应安排至少1名专业人员到场提供消防应急保障。</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2.积极配合学校开展消防演练和技能培训，安排至少1名专业人员到场协助。</w:t>
      </w:r>
    </w:p>
    <w:bookmarkEnd w:id="9"/>
    <w:bookmarkEnd w:id="10"/>
    <w:p w:rsidR="000C054D" w:rsidRDefault="000C054D" w:rsidP="000C054D">
      <w:pPr>
        <w:pStyle w:val="2"/>
        <w:numPr>
          <w:ilvl w:val="0"/>
          <w:numId w:val="2"/>
        </w:numPr>
        <w:spacing w:before="0" w:after="0" w:line="360" w:lineRule="auto"/>
        <w:ind w:firstLine="0"/>
        <w:jc w:val="both"/>
        <w:rPr>
          <w:rFonts w:ascii="仿宋" w:eastAsia="仿宋" w:hAnsi="仿宋" w:cs="仿宋"/>
          <w:sz w:val="28"/>
          <w:szCs w:val="28"/>
        </w:rPr>
      </w:pPr>
      <w:r>
        <w:rPr>
          <w:rFonts w:ascii="仿宋" w:eastAsia="仿宋" w:hAnsi="仿宋" w:cs="仿宋" w:hint="eastAsia"/>
          <w:sz w:val="28"/>
          <w:szCs w:val="28"/>
        </w:rPr>
        <w:t>其他要求</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1.负责校区所有消防系统、消防设施的维护保养，保证其正常工作并符合消防规范的要求，承担消防安全检查、消防安全事故中因消防设施所产生的责任（未验收楼宇维保内容参照验收楼宇维保内容，因楼宇未验收而造成的处罚与维保单位无关），建议中标单位对此维保项目进行投保（财产险）以抵御风险。</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2.做好消防设施资料建档工作，及时更新老的资料；消防资料归校方所有，不得扩散；所有资料在维保期满应全部移交。</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3.应建立完善的维修和检测记录，每月及时上报校方维修检测记录及相关检测报告。</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4.中标单位有责任和义务配合做好校方及上级主管部门组织的消防安全检查、消防维修改造项目的现场勘查、方案论证、验收等相关技术支撑工作。</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5.</w:t>
      </w:r>
      <w:bookmarkStart w:id="11" w:name="_GoBack"/>
      <w:r>
        <w:rPr>
          <w:rFonts w:ascii="仿宋" w:eastAsia="仿宋" w:hAnsi="仿宋" w:cs="仿宋" w:hint="eastAsia"/>
          <w:kern w:val="0"/>
          <w:sz w:val="24"/>
          <w:szCs w:val="24"/>
          <w:lang w:val="zh-CN"/>
        </w:rPr>
        <w:t>维保服务期内，烟感（温感）探测器、疏散指示、应急照明、闭门器、喷淋头、手报按钮、消火栓箱（玻璃）等单价在200元及以下的所有消防设备零部件</w:t>
      </w:r>
      <w:r w:rsidR="00542EDA">
        <w:rPr>
          <w:rFonts w:ascii="仿宋" w:eastAsia="仿宋" w:hAnsi="仿宋" w:cs="仿宋" w:hint="eastAsia"/>
          <w:kern w:val="0"/>
          <w:sz w:val="24"/>
          <w:szCs w:val="24"/>
          <w:lang w:val="zh-CN"/>
        </w:rPr>
        <w:t>、辅材</w:t>
      </w:r>
      <w:r>
        <w:rPr>
          <w:rFonts w:ascii="仿宋" w:eastAsia="仿宋" w:hAnsi="仿宋" w:cs="仿宋" w:hint="eastAsia"/>
          <w:kern w:val="0"/>
          <w:sz w:val="24"/>
          <w:szCs w:val="24"/>
          <w:lang w:val="zh-CN"/>
        </w:rPr>
        <w:t>（除灭火器）由维保单位免费维修与更换。</w:t>
      </w:r>
      <w:r w:rsidR="00542EDA">
        <w:rPr>
          <w:rFonts w:ascii="仿宋" w:eastAsia="仿宋" w:hAnsi="仿宋" w:cs="仿宋" w:hint="eastAsia"/>
          <w:bCs/>
          <w:sz w:val="24"/>
        </w:rPr>
        <w:t>如需更换单价200元以上的消防设施设备零配件等，中标人须向招标方提出书面报告，由甲方相关部门进行维修</w:t>
      </w:r>
      <w:r>
        <w:rPr>
          <w:rFonts w:ascii="仿宋" w:eastAsia="仿宋" w:hAnsi="仿宋" w:cs="仿宋" w:hint="eastAsia"/>
          <w:kern w:val="0"/>
          <w:sz w:val="24"/>
          <w:szCs w:val="24"/>
          <w:lang w:val="zh-CN"/>
        </w:rPr>
        <w:t>。</w:t>
      </w:r>
      <w:bookmarkEnd w:id="11"/>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6.服务期内年度最后一个月，按年度的维护保养内容，全面对消防系统逐项进行检查、检测、测试，并提交年度维护保养、年度检测、设备运行状况等报告；按照消防部门的要求配合校方做好年度消防评估，并提交评估报告。</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7.投标单位自行办理施工许可证及市区通行证，发生的费用自理。</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8.由于为学校项目，为确保学校正常科研教学秩序，中标单位应按照要求在规定的时间及地点进行维保。请各投标单位充分考虑由此带来的人工、机械降效、人员窝工损失等相关费用，并计入本次投标报价，一旦投标供应商中标，中标单</w:t>
      </w:r>
      <w:r>
        <w:rPr>
          <w:rFonts w:ascii="仿宋" w:eastAsia="仿宋" w:hAnsi="仿宋" w:cs="仿宋" w:hint="eastAsia"/>
          <w:kern w:val="0"/>
          <w:sz w:val="24"/>
          <w:szCs w:val="24"/>
          <w:lang w:val="zh-CN"/>
        </w:rPr>
        <w:lastRenderedPageBreak/>
        <w:t>位不得以不完全了解维保现场情况及要求为由，而提出额外的赔偿、补偿、增加费用等要求。</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9.投标供应商如中标，在进入施工现场后，应遵守国家相关法律法规、学校管理规定，并负责施工范围内的一切安全防护措施、承担施工范围内的一切安全责任，投标供应商应在其投标文件中作出承诺。</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10.技术规范和技术标准：苏公规2011第2号江苏省建筑消防设施维护管理规定、满足</w:t>
      </w:r>
      <w:r w:rsidR="00A80BF6">
        <w:rPr>
          <w:rFonts w:ascii="仿宋" w:eastAsia="仿宋" w:hAnsi="仿宋" w:cs="仿宋" w:hint="eastAsia"/>
          <w:kern w:val="0"/>
          <w:sz w:val="24"/>
          <w:szCs w:val="24"/>
          <w:lang w:val="zh-CN"/>
        </w:rPr>
        <w:t>南京特殊教育师范学院</w:t>
      </w:r>
      <w:r>
        <w:rPr>
          <w:rFonts w:ascii="仿宋" w:eastAsia="仿宋" w:hAnsi="仿宋" w:cs="仿宋" w:hint="eastAsia"/>
          <w:kern w:val="0"/>
          <w:sz w:val="24"/>
          <w:szCs w:val="24"/>
          <w:lang w:val="zh-CN"/>
        </w:rPr>
        <w:t>消防维保需要</w:t>
      </w:r>
      <w:r>
        <w:rPr>
          <w:rFonts w:ascii="仿宋" w:eastAsia="仿宋" w:hAnsi="仿宋" w:cs="仿宋" w:hint="eastAsia"/>
          <w:kern w:val="0"/>
          <w:sz w:val="24"/>
          <w:szCs w:val="24"/>
        </w:rPr>
        <w:t>。</w:t>
      </w:r>
    </w:p>
    <w:p w:rsidR="000C054D" w:rsidRDefault="000C054D" w:rsidP="000C054D">
      <w:pPr>
        <w:pStyle w:val="2"/>
        <w:numPr>
          <w:ilvl w:val="1"/>
          <w:numId w:val="0"/>
        </w:numPr>
        <w:spacing w:before="0" w:after="0" w:line="360" w:lineRule="auto"/>
        <w:jc w:val="both"/>
        <w:rPr>
          <w:rFonts w:ascii="仿宋" w:eastAsia="仿宋" w:hAnsi="仿宋" w:cs="仿宋"/>
          <w:sz w:val="28"/>
          <w:szCs w:val="28"/>
        </w:rPr>
      </w:pPr>
      <w:r>
        <w:rPr>
          <w:rFonts w:ascii="仿宋" w:eastAsia="仿宋" w:hAnsi="仿宋" w:cs="仿宋" w:hint="eastAsia"/>
          <w:sz w:val="28"/>
          <w:szCs w:val="28"/>
        </w:rPr>
        <w:t>六、考核</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1、中标人必须按计划对其维保范围内的消防设施设备完成相应维护保养工作，按季度分别于202</w:t>
      </w:r>
      <w:r w:rsidR="007E3739">
        <w:rPr>
          <w:rFonts w:ascii="仿宋" w:eastAsia="仿宋" w:hAnsi="仿宋" w:cs="仿宋"/>
          <w:b/>
          <w:sz w:val="24"/>
        </w:rPr>
        <w:t>6</w:t>
      </w:r>
      <w:r>
        <w:rPr>
          <w:rFonts w:ascii="仿宋" w:eastAsia="仿宋" w:hAnsi="仿宋" w:cs="仿宋" w:hint="eastAsia"/>
          <w:b/>
          <w:sz w:val="24"/>
        </w:rPr>
        <w:t>年9月1日、202</w:t>
      </w:r>
      <w:r w:rsidR="007E3739">
        <w:rPr>
          <w:rFonts w:ascii="仿宋" w:eastAsia="仿宋" w:hAnsi="仿宋" w:cs="仿宋"/>
          <w:b/>
          <w:sz w:val="24"/>
        </w:rPr>
        <w:t>6</w:t>
      </w:r>
      <w:r>
        <w:rPr>
          <w:rFonts w:ascii="仿宋" w:eastAsia="仿宋" w:hAnsi="仿宋" w:cs="仿宋" w:hint="eastAsia"/>
          <w:b/>
          <w:sz w:val="24"/>
        </w:rPr>
        <w:t>年12月1日、202</w:t>
      </w:r>
      <w:r w:rsidR="007E3739">
        <w:rPr>
          <w:rFonts w:ascii="仿宋" w:eastAsia="仿宋" w:hAnsi="仿宋" w:cs="仿宋"/>
          <w:b/>
          <w:sz w:val="24"/>
        </w:rPr>
        <w:t>7</w:t>
      </w:r>
      <w:r>
        <w:rPr>
          <w:rFonts w:ascii="仿宋" w:eastAsia="仿宋" w:hAnsi="仿宋" w:cs="仿宋" w:hint="eastAsia"/>
          <w:b/>
          <w:sz w:val="24"/>
        </w:rPr>
        <w:t>年3月1日前提交“季度维保工作总结报告”，至少包含消防设施维保和测试计划的执行情况、设备设施维修及时性、各类安全检查反馈问题整改情况、维保方发现的重大消防隐患及整改方案、项目组人员出勤情况等材料。</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未按照上述要求时限提交相应季度维保工作总结报告的，当季度考核记为0分。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招标人组织考评组审核，从维护保养频率频次、故障维修及时性、消防设施设备故障率、服务态度、服务质量、维保记录规范性、设备完好率等方面对维护保养服务进行考核评分。</w:t>
      </w:r>
    </w:p>
    <w:p w:rsidR="000C054D" w:rsidRDefault="000C054D" w:rsidP="000C054D">
      <w:pPr>
        <w:wordWrap w:val="0"/>
        <w:snapToGrid w:val="0"/>
        <w:spacing w:line="360" w:lineRule="auto"/>
        <w:ind w:firstLineChars="200" w:firstLine="482"/>
        <w:rPr>
          <w:rFonts w:ascii="仿宋" w:eastAsia="仿宋" w:hAnsi="仿宋" w:cs="仿宋"/>
          <w:b/>
          <w:sz w:val="24"/>
          <w:lang w:val="zh-CN"/>
        </w:rPr>
      </w:pPr>
      <w:r>
        <w:rPr>
          <w:rFonts w:ascii="仿宋" w:eastAsia="仿宋" w:hAnsi="仿宋" w:cs="仿宋" w:hint="eastAsia"/>
          <w:b/>
          <w:sz w:val="24"/>
        </w:rPr>
        <w:t>2、202</w:t>
      </w:r>
      <w:r w:rsidR="007E3739">
        <w:rPr>
          <w:rFonts w:ascii="仿宋" w:eastAsia="仿宋" w:hAnsi="仿宋" w:cs="仿宋"/>
          <w:b/>
          <w:sz w:val="24"/>
        </w:rPr>
        <w:t>7</w:t>
      </w:r>
      <w:r>
        <w:rPr>
          <w:rFonts w:ascii="仿宋" w:eastAsia="仿宋" w:hAnsi="仿宋" w:cs="仿宋" w:hint="eastAsia"/>
          <w:b/>
          <w:sz w:val="24"/>
        </w:rPr>
        <w:t>年5月31日前中标人提交本项目年度维保工作总结报告。招标人组织</w:t>
      </w:r>
      <w:r>
        <w:rPr>
          <w:rFonts w:ascii="仿宋" w:eastAsia="仿宋" w:hAnsi="仿宋" w:cs="仿宋" w:hint="eastAsia"/>
          <w:b/>
          <w:sz w:val="24"/>
          <w:lang w:val="zh-CN"/>
        </w:rPr>
        <w:t>对维保单位进行</w:t>
      </w:r>
      <w:r>
        <w:rPr>
          <w:rFonts w:ascii="仿宋" w:eastAsia="仿宋" w:hAnsi="仿宋" w:cs="仿宋" w:hint="eastAsia"/>
          <w:b/>
          <w:sz w:val="24"/>
        </w:rPr>
        <w:t>年度</w:t>
      </w:r>
      <w:r>
        <w:rPr>
          <w:rFonts w:ascii="仿宋" w:eastAsia="仿宋" w:hAnsi="仿宋" w:cs="仿宋" w:hint="eastAsia"/>
          <w:b/>
          <w:sz w:val="24"/>
          <w:lang w:val="zh-CN"/>
        </w:rPr>
        <w:t>考核，</w:t>
      </w:r>
      <w:r>
        <w:rPr>
          <w:rFonts w:ascii="仿宋" w:eastAsia="仿宋" w:hAnsi="仿宋" w:cs="仿宋" w:hint="eastAsia"/>
          <w:b/>
          <w:sz w:val="24"/>
        </w:rPr>
        <w:t>总分100分</w:t>
      </w:r>
      <w:r>
        <w:rPr>
          <w:rFonts w:ascii="仿宋" w:eastAsia="仿宋" w:hAnsi="仿宋" w:cs="仿宋" w:hint="eastAsia"/>
          <w:b/>
          <w:sz w:val="24"/>
          <w:lang w:val="zh-CN"/>
        </w:rPr>
        <w:t>。</w:t>
      </w:r>
      <w:r>
        <w:rPr>
          <w:rFonts w:ascii="仿宋" w:eastAsia="仿宋" w:hAnsi="仿宋" w:cs="仿宋" w:hint="eastAsia"/>
          <w:b/>
          <w:sz w:val="24"/>
        </w:rPr>
        <w:t>年度</w:t>
      </w:r>
      <w:r>
        <w:rPr>
          <w:rFonts w:ascii="仿宋" w:eastAsia="仿宋" w:hAnsi="仿宋" w:cs="仿宋" w:hint="eastAsia"/>
          <w:b/>
          <w:sz w:val="24"/>
          <w:lang w:val="zh-CN"/>
        </w:rPr>
        <w:t>考核评分达到90分及以上的，剩余维保费将全额支付；</w:t>
      </w:r>
      <w:r>
        <w:rPr>
          <w:rFonts w:ascii="仿宋" w:eastAsia="仿宋" w:hAnsi="仿宋" w:cs="仿宋" w:hint="eastAsia"/>
          <w:b/>
          <w:sz w:val="24"/>
        </w:rPr>
        <w:t>年度</w:t>
      </w:r>
      <w:r>
        <w:rPr>
          <w:rFonts w:ascii="仿宋" w:eastAsia="仿宋" w:hAnsi="仿宋" w:cs="仿宋" w:hint="eastAsia"/>
          <w:b/>
          <w:sz w:val="24"/>
          <w:lang w:val="zh-CN"/>
        </w:rPr>
        <w:t>考核评分</w:t>
      </w:r>
      <w:r>
        <w:rPr>
          <w:rFonts w:ascii="仿宋" w:eastAsia="仿宋" w:hAnsi="仿宋" w:cs="仿宋" w:hint="eastAsia"/>
          <w:b/>
          <w:sz w:val="24"/>
        </w:rPr>
        <w:t>在60分（含）至90分（不含）之间的，按照</w:t>
      </w:r>
      <w:r>
        <w:rPr>
          <w:rFonts w:ascii="仿宋" w:eastAsia="仿宋" w:hAnsi="仿宋" w:cs="仿宋" w:hint="eastAsia"/>
          <w:b/>
          <w:sz w:val="24"/>
          <w:lang w:val="zh-CN"/>
        </w:rPr>
        <w:t>“（</w:t>
      </w:r>
      <w:r>
        <w:rPr>
          <w:rFonts w:ascii="仿宋" w:eastAsia="仿宋" w:hAnsi="仿宋" w:cs="仿宋" w:hint="eastAsia"/>
          <w:b/>
          <w:sz w:val="24"/>
        </w:rPr>
        <w:t>90-考核评分）*1</w:t>
      </w:r>
      <w:r>
        <w:rPr>
          <w:rFonts w:ascii="仿宋" w:eastAsia="仿宋" w:hAnsi="仿宋" w:cs="仿宋" w:hint="eastAsia"/>
          <w:b/>
          <w:sz w:val="24"/>
          <w:lang w:val="zh-CN"/>
        </w:rPr>
        <w:t>%</w:t>
      </w:r>
      <w:r>
        <w:rPr>
          <w:rFonts w:ascii="仿宋" w:eastAsia="仿宋" w:hAnsi="仿宋" w:cs="仿宋" w:hint="eastAsia"/>
          <w:b/>
          <w:sz w:val="24"/>
        </w:rPr>
        <w:t>*</w:t>
      </w:r>
      <w:r>
        <w:rPr>
          <w:rFonts w:ascii="仿宋" w:eastAsia="仿宋" w:hAnsi="仿宋" w:cs="仿宋" w:hint="eastAsia"/>
          <w:b/>
          <w:sz w:val="24"/>
          <w:lang w:val="zh-CN"/>
        </w:rPr>
        <w:t>维保</w:t>
      </w:r>
      <w:r>
        <w:rPr>
          <w:rFonts w:ascii="仿宋" w:eastAsia="仿宋" w:hAnsi="仿宋" w:cs="仿宋" w:hint="eastAsia"/>
          <w:b/>
          <w:sz w:val="24"/>
        </w:rPr>
        <w:t>合同总金额</w:t>
      </w:r>
      <w:r>
        <w:rPr>
          <w:rFonts w:ascii="仿宋" w:eastAsia="仿宋" w:hAnsi="仿宋" w:cs="仿宋"/>
          <w:b/>
          <w:sz w:val="24"/>
        </w:rPr>
        <w:t>”</w:t>
      </w:r>
      <w:r>
        <w:rPr>
          <w:rFonts w:ascii="仿宋" w:eastAsia="仿宋" w:hAnsi="仿宋" w:cs="仿宋" w:hint="eastAsia"/>
          <w:b/>
          <w:sz w:val="24"/>
        </w:rPr>
        <w:t>的额度从剩余维保费中扣减后支付</w:t>
      </w:r>
      <w:r>
        <w:rPr>
          <w:rFonts w:ascii="仿宋" w:eastAsia="仿宋" w:hAnsi="仿宋" w:cs="仿宋" w:hint="eastAsia"/>
          <w:b/>
          <w:sz w:val="24"/>
          <w:lang w:val="zh-CN"/>
        </w:rPr>
        <w:t>；考核评分低于60分，则</w:t>
      </w:r>
      <w:r>
        <w:rPr>
          <w:rFonts w:ascii="仿宋" w:eastAsia="仿宋" w:hAnsi="仿宋" w:cs="仿宋" w:hint="eastAsia"/>
          <w:b/>
          <w:sz w:val="24"/>
        </w:rPr>
        <w:t>扣减</w:t>
      </w:r>
      <w:r>
        <w:rPr>
          <w:rFonts w:ascii="仿宋" w:eastAsia="仿宋" w:hAnsi="仿宋" w:cs="仿宋" w:hint="eastAsia"/>
          <w:b/>
          <w:sz w:val="24"/>
          <w:lang w:val="zh-CN"/>
        </w:rPr>
        <w:t>维保</w:t>
      </w:r>
      <w:r>
        <w:rPr>
          <w:rFonts w:ascii="仿宋" w:eastAsia="仿宋" w:hAnsi="仿宋" w:cs="仿宋" w:hint="eastAsia"/>
          <w:b/>
          <w:sz w:val="24"/>
        </w:rPr>
        <w:t>合同总金额的50%</w:t>
      </w:r>
      <w:r>
        <w:rPr>
          <w:rFonts w:ascii="仿宋" w:eastAsia="仿宋" w:hAnsi="仿宋" w:cs="仿宋" w:hint="eastAsia"/>
          <w:b/>
          <w:sz w:val="24"/>
          <w:lang w:val="zh-CN"/>
        </w:rPr>
        <w:t>。</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3、服务期限内有下列情形的，按下列条款在年度考核总分中进行加分或扣分；维保单位配合提供相应的数据和支撑材料，不配合提供材料的相应项按不合格记分。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 实际配备的维保人员不符合中标人投标文件的扣5分，不满足招标文件的扣40分；人员无故缺勤的，每缺勤1天扣1分。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3.2 月度（季度）维保频率、数量和过程不符合江苏省《建筑消防设施维护</w:t>
      </w:r>
      <w:r>
        <w:rPr>
          <w:rFonts w:ascii="仿宋" w:eastAsia="仿宋" w:hAnsi="仿宋" w:cs="仿宋" w:hint="eastAsia"/>
          <w:b/>
          <w:sz w:val="24"/>
        </w:rPr>
        <w:lastRenderedPageBreak/>
        <w:t>保养规程》（DB32/T 4696-2024）的，每出现一项扣1分；维保项目年度维保频次、数量不符合江苏省《建筑消防设施维护保养规程》（DB32/T 4696-2024）的，每出现一项扣10分。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3.3 月度检测计划、检测报告、维修保养计划、维修保养记录应在下个自然月第7个工作日的下午16：00前提交，未按要求及时提供每出现一项扣1分。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3.4 涉及“消防设施完好有效性”的问题，维保单位未及时发现或未按照合同规定的时效和方式反馈的，每发现一项扣1分。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3.5 问题反馈并经校方同意后，未按照合同约定时间内完成故障处理的，每发现一项扣1分。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3.6 未由具备专业消防检测资质单位出具第三方年度检测报告的，扣10分；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3.7 在消防检查中，发现因维保不当的原因而被检查方提出整改项的，校级检查中每发现一项扣1—2分，县区级及以上的检查中每发现一项扣3—5分。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3.8 季度考核评分分值在80（含）-90（不含）分之间的每出现1次扣1分，70（含）-80（不含）分之间的每出现1次扣2分，60（含）-70（不含）分之间的每出现1次扣3分，60分（不含）以下的每出现1次扣10分。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3.9 在维保工作中，能及时发现重大消防安全隐患风险并提出有效处置措施，经中标单位主动向采购人申报，经过采购人认定的每发现一项加1—5分。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3.10 积极配合学校消防安全管理工作，辅助消防培训、实战演练、预案编制、校内消防验收等做出突出贡献，经中标单位主动向采购人申报，经采购人认定的每次加1—5分。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3.11 在学校重大活动消防保障中有突出表现，经中标单位主动向采购人申报，经学校认定的每次加1—2分。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3.12 在扑救火灾中反应迅速，处置得当，经中标单位主动向采购人申报，经学校认定的每次加3—5分。</w:t>
      </w:r>
    </w:p>
    <w:p w:rsidR="000C054D" w:rsidRDefault="000C054D" w:rsidP="000C054D">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3.13 年度考核分数在95分（含）以上的，中标单位可向采购人申请服务项目满意度优秀证明，考核分数在90分（含）至95分（不含），可向采购人申请服务项目满意度良好证明。考核分数在90分（不含）以下的，采购人不向中标单位提供任何等级的满意度证明。</w:t>
      </w:r>
    </w:p>
    <w:p w:rsidR="000C054D" w:rsidRDefault="000C054D" w:rsidP="000C054D">
      <w:pPr>
        <w:pStyle w:val="2"/>
        <w:numPr>
          <w:ilvl w:val="1"/>
          <w:numId w:val="0"/>
        </w:numPr>
        <w:spacing w:before="0" w:after="0" w:line="360" w:lineRule="auto"/>
        <w:jc w:val="both"/>
        <w:rPr>
          <w:rFonts w:ascii="仿宋" w:eastAsia="仿宋" w:hAnsi="仿宋" w:cs="仿宋"/>
          <w:sz w:val="28"/>
          <w:szCs w:val="28"/>
          <w:lang w:val="zh-CN"/>
        </w:rPr>
      </w:pPr>
      <w:r>
        <w:rPr>
          <w:rFonts w:ascii="仿宋" w:eastAsia="仿宋" w:hAnsi="仿宋" w:cs="仿宋" w:hint="eastAsia"/>
          <w:sz w:val="28"/>
          <w:szCs w:val="28"/>
        </w:rPr>
        <w:lastRenderedPageBreak/>
        <w:t>七、</w:t>
      </w:r>
      <w:r>
        <w:rPr>
          <w:rFonts w:ascii="仿宋" w:eastAsia="仿宋" w:hAnsi="仿宋" w:cs="仿宋" w:hint="eastAsia"/>
          <w:sz w:val="28"/>
          <w:szCs w:val="28"/>
          <w:lang w:val="zh-CN"/>
        </w:rPr>
        <w:t>付款方式</w:t>
      </w:r>
    </w:p>
    <w:p w:rsidR="000C054D" w:rsidRDefault="000C054D" w:rsidP="000C054D">
      <w:pPr>
        <w:wordWrap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sz w:val="24"/>
          <w:szCs w:val="24"/>
        </w:rPr>
        <w:t>维护保养费用分两次支付，自合同正式履行之日起至202</w:t>
      </w:r>
      <w:r w:rsidR="007E3739">
        <w:rPr>
          <w:rFonts w:ascii="仿宋" w:eastAsia="仿宋" w:hAnsi="仿宋" w:cs="仿宋"/>
          <w:sz w:val="24"/>
          <w:szCs w:val="24"/>
        </w:rPr>
        <w:t>6</w:t>
      </w:r>
      <w:r>
        <w:rPr>
          <w:rFonts w:ascii="仿宋" w:eastAsia="仿宋" w:hAnsi="仿宋" w:cs="仿宋" w:hint="eastAsia"/>
          <w:sz w:val="24"/>
          <w:szCs w:val="24"/>
        </w:rPr>
        <w:t>年12月，支付合同总额的50%，服务期限结束前一个月对维保单位进行考核，根据考核结果对照合同约定支付合同尾款（不高于合同总额的50%）</w:t>
      </w:r>
      <w:r>
        <w:rPr>
          <w:rFonts w:ascii="仿宋" w:eastAsia="仿宋" w:hAnsi="仿宋" w:cs="仿宋" w:hint="eastAsia"/>
          <w:kern w:val="0"/>
          <w:sz w:val="24"/>
          <w:szCs w:val="24"/>
          <w:lang w:val="zh-CN"/>
        </w:rPr>
        <w:t>。</w:t>
      </w:r>
    </w:p>
    <w:p w:rsidR="000C054D" w:rsidRDefault="000C054D" w:rsidP="000C054D">
      <w:pPr>
        <w:wordWrap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lang w:val="zh-CN"/>
        </w:rPr>
        <w:t>维修与更换费用（单件超过</w:t>
      </w:r>
      <w:r>
        <w:rPr>
          <w:rFonts w:ascii="仿宋" w:eastAsia="仿宋" w:hAnsi="仿宋" w:cs="仿宋" w:hint="eastAsia"/>
          <w:bCs/>
          <w:sz w:val="24"/>
        </w:rPr>
        <w:t>200元</w:t>
      </w:r>
      <w:r>
        <w:rPr>
          <w:rFonts w:ascii="仿宋" w:eastAsia="仿宋" w:hAnsi="仿宋" w:cs="仿宋" w:hint="eastAsia"/>
          <w:bCs/>
          <w:sz w:val="24"/>
          <w:lang w:val="zh-CN"/>
        </w:rPr>
        <w:t>）的支付：</w:t>
      </w:r>
      <w:r>
        <w:rPr>
          <w:rFonts w:ascii="仿宋" w:eastAsia="仿宋" w:hAnsi="仿宋" w:cs="仿宋" w:hint="eastAsia"/>
          <w:bCs/>
          <w:sz w:val="24"/>
        </w:rPr>
        <w:t>中标人须依据投标文件中提供的报价清单向招标方提出书面预算，并征得招标方书面同意后方可购买。维修更换消防设备的过程中如涉及人工开挖、恢复、线路敷设等土建工程内容，相应的费用应根据实际施工情况按实结算。每笔款项均以人民币支票（现金或转账）方式定期支付，中标人凭以下资料与招标人进行结算：</w:t>
      </w:r>
    </w:p>
    <w:p w:rsidR="000C054D" w:rsidRDefault="000C054D" w:rsidP="000C054D">
      <w:pPr>
        <w:wordWrap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（1）中标人须开具正规发票；</w:t>
      </w:r>
    </w:p>
    <w:p w:rsidR="000C054D" w:rsidRDefault="000C054D" w:rsidP="000C054D">
      <w:pPr>
        <w:pStyle w:val="a5"/>
        <w:adjustRightInd w:val="0"/>
        <w:snapToGrid w:val="0"/>
        <w:spacing w:line="360" w:lineRule="auto"/>
        <w:ind w:firstLine="480"/>
        <w:rPr>
          <w:rFonts w:ascii="仿宋" w:eastAsia="仿宋" w:hAnsi="仿宋" w:cs="仿宋"/>
          <w:bCs/>
          <w:sz w:val="24"/>
          <w:szCs w:val="24"/>
          <w:lang w:val="zh-CN"/>
        </w:rPr>
      </w:pPr>
      <w:r>
        <w:rPr>
          <w:rFonts w:ascii="仿宋" w:eastAsia="仿宋" w:hAnsi="仿宋" w:cs="仿宋" w:hint="eastAsia"/>
          <w:bCs/>
          <w:sz w:val="24"/>
        </w:rPr>
        <w:t>（2）当季度工作质量考核统计（考核结果与合同款结算直接挂钩）</w:t>
      </w:r>
      <w:r>
        <w:rPr>
          <w:rFonts w:ascii="仿宋" w:eastAsia="仿宋" w:hAnsi="仿宋" w:cs="仿宋" w:hint="eastAsia"/>
          <w:bCs/>
          <w:sz w:val="24"/>
          <w:szCs w:val="24"/>
        </w:rPr>
        <w:t>。</w:t>
      </w:r>
    </w:p>
    <w:p w:rsidR="000C054D" w:rsidRDefault="000C054D" w:rsidP="000C054D">
      <w:pPr>
        <w:pStyle w:val="2"/>
        <w:numPr>
          <w:ilvl w:val="1"/>
          <w:numId w:val="0"/>
        </w:numPr>
        <w:spacing w:before="0" w:after="0" w:line="360" w:lineRule="auto"/>
        <w:jc w:val="both"/>
        <w:rPr>
          <w:rFonts w:ascii="仿宋" w:eastAsia="仿宋" w:hAnsi="仿宋" w:cs="仿宋"/>
          <w:sz w:val="28"/>
          <w:szCs w:val="28"/>
        </w:rPr>
      </w:pPr>
      <w:r>
        <w:rPr>
          <w:rFonts w:ascii="仿宋" w:eastAsia="仿宋" w:hAnsi="仿宋" w:cs="仿宋" w:hint="eastAsia"/>
          <w:sz w:val="28"/>
          <w:szCs w:val="28"/>
        </w:rPr>
        <w:t>八、服务期限</w:t>
      </w:r>
    </w:p>
    <w:p w:rsidR="00382743" w:rsidRDefault="000C054D" w:rsidP="000C054D">
      <w:r>
        <w:rPr>
          <w:rFonts w:ascii="仿宋" w:eastAsia="仿宋" w:hAnsi="仿宋" w:cs="仿宋" w:hint="eastAsia"/>
          <w:b/>
          <w:bCs/>
          <w:kern w:val="0"/>
          <w:sz w:val="24"/>
          <w:szCs w:val="24"/>
          <w:lang w:val="zh-CN"/>
        </w:rPr>
        <w:t>自</w:t>
      </w:r>
      <w:r>
        <w:rPr>
          <w:rFonts w:ascii="仿宋" w:eastAsia="仿宋" w:hAnsi="仿宋" w:cs="仿宋"/>
          <w:b/>
          <w:bCs/>
          <w:kern w:val="0"/>
          <w:sz w:val="24"/>
          <w:szCs w:val="24"/>
        </w:rPr>
        <w:t>202</w:t>
      </w:r>
      <w:r w:rsidR="007E3739">
        <w:rPr>
          <w:rFonts w:ascii="仿宋" w:eastAsia="仿宋" w:hAnsi="仿宋" w:cs="仿宋"/>
          <w:b/>
          <w:bCs/>
          <w:kern w:val="0"/>
          <w:sz w:val="24"/>
          <w:szCs w:val="24"/>
        </w:rPr>
        <w:t>6</w:t>
      </w:r>
      <w:r>
        <w:rPr>
          <w:rFonts w:ascii="仿宋" w:eastAsia="仿宋" w:hAnsi="仿宋" w:cs="仿宋"/>
          <w:b/>
          <w:bCs/>
          <w:kern w:val="0"/>
          <w:sz w:val="24"/>
          <w:szCs w:val="24"/>
        </w:rPr>
        <w:t>年</w:t>
      </w:r>
      <w:r w:rsidRPr="0095343E">
        <w:rPr>
          <w:rFonts w:ascii="仿宋" w:eastAsia="仿宋" w:hAnsi="仿宋" w:cs="仿宋" w:hint="eastAsia"/>
          <w:b/>
          <w:bCs/>
          <w:kern w:val="0"/>
          <w:sz w:val="24"/>
          <w:szCs w:val="24"/>
        </w:rPr>
        <w:t xml:space="preserve">6 </w:t>
      </w:r>
      <w:r>
        <w:rPr>
          <w:rFonts w:ascii="仿宋" w:eastAsia="仿宋" w:hAnsi="仿宋" w:cs="仿宋" w:hint="eastAsia"/>
          <w:b/>
          <w:bCs/>
          <w:kern w:val="0"/>
          <w:sz w:val="24"/>
          <w:szCs w:val="24"/>
          <w:lang w:val="zh-CN"/>
        </w:rPr>
        <w:t>月</w:t>
      </w:r>
      <w:r w:rsidRPr="0095343E">
        <w:rPr>
          <w:rFonts w:ascii="仿宋" w:eastAsia="仿宋" w:hAnsi="仿宋" w:cs="仿宋" w:hint="eastAsia"/>
          <w:b/>
          <w:bCs/>
          <w:kern w:val="0"/>
          <w:sz w:val="24"/>
          <w:szCs w:val="24"/>
        </w:rPr>
        <w:t>1</w:t>
      </w:r>
      <w:r>
        <w:rPr>
          <w:rFonts w:ascii="仿宋" w:eastAsia="仿宋" w:hAnsi="仿宋" w:cs="仿宋" w:hint="eastAsia"/>
          <w:b/>
          <w:bCs/>
          <w:kern w:val="0"/>
          <w:sz w:val="24"/>
          <w:szCs w:val="24"/>
          <w:lang w:val="zh-CN"/>
        </w:rPr>
        <w:t>日起至</w:t>
      </w:r>
      <w:r w:rsidRPr="0095343E">
        <w:rPr>
          <w:rFonts w:ascii="仿宋" w:eastAsia="仿宋" w:hAnsi="仿宋" w:cs="仿宋" w:hint="eastAsia"/>
          <w:b/>
          <w:bCs/>
          <w:kern w:val="0"/>
          <w:sz w:val="24"/>
          <w:szCs w:val="24"/>
        </w:rPr>
        <w:t>202</w:t>
      </w:r>
      <w:r w:rsidR="007E3739">
        <w:rPr>
          <w:rFonts w:ascii="仿宋" w:eastAsia="仿宋" w:hAnsi="仿宋" w:cs="仿宋"/>
          <w:b/>
          <w:bCs/>
          <w:kern w:val="0"/>
          <w:sz w:val="24"/>
          <w:szCs w:val="24"/>
        </w:rPr>
        <w:t>7</w:t>
      </w:r>
      <w:r>
        <w:rPr>
          <w:rFonts w:ascii="仿宋" w:eastAsia="仿宋" w:hAnsi="仿宋" w:cs="仿宋" w:hint="eastAsia"/>
          <w:b/>
          <w:bCs/>
          <w:kern w:val="0"/>
          <w:sz w:val="24"/>
          <w:szCs w:val="24"/>
          <w:lang w:val="zh-CN"/>
        </w:rPr>
        <w:t>年</w:t>
      </w:r>
      <w:r>
        <w:rPr>
          <w:rFonts w:ascii="仿宋" w:eastAsia="仿宋" w:hAnsi="仿宋" w:cs="仿宋" w:hint="eastAsia"/>
          <w:b/>
          <w:bCs/>
          <w:kern w:val="0"/>
          <w:sz w:val="24"/>
          <w:szCs w:val="24"/>
        </w:rPr>
        <w:t>5</w:t>
      </w:r>
      <w:r>
        <w:rPr>
          <w:rFonts w:ascii="仿宋" w:eastAsia="仿宋" w:hAnsi="仿宋" w:cs="仿宋" w:hint="eastAsia"/>
          <w:b/>
          <w:bCs/>
          <w:kern w:val="0"/>
          <w:sz w:val="24"/>
          <w:szCs w:val="24"/>
          <w:lang w:val="zh-CN"/>
        </w:rPr>
        <w:t>月</w:t>
      </w:r>
      <w:r w:rsidRPr="0095343E">
        <w:rPr>
          <w:rFonts w:ascii="仿宋" w:eastAsia="仿宋" w:hAnsi="仿宋" w:cs="仿宋" w:hint="eastAsia"/>
          <w:b/>
          <w:bCs/>
          <w:kern w:val="0"/>
          <w:sz w:val="24"/>
          <w:szCs w:val="24"/>
        </w:rPr>
        <w:t>31</w:t>
      </w:r>
      <w:r>
        <w:rPr>
          <w:rFonts w:ascii="仿宋" w:eastAsia="仿宋" w:hAnsi="仿宋" w:cs="仿宋" w:hint="eastAsia"/>
          <w:b/>
          <w:bCs/>
          <w:kern w:val="0"/>
          <w:sz w:val="24"/>
          <w:szCs w:val="24"/>
        </w:rPr>
        <w:t>日</w:t>
      </w:r>
      <w:r>
        <w:rPr>
          <w:rFonts w:ascii="仿宋" w:eastAsia="仿宋" w:hAnsi="仿宋" w:cs="仿宋" w:hint="eastAsia"/>
          <w:b/>
          <w:bCs/>
          <w:kern w:val="0"/>
          <w:sz w:val="24"/>
          <w:szCs w:val="24"/>
          <w:lang w:val="zh-CN"/>
        </w:rPr>
        <w:t>止。</w:t>
      </w:r>
    </w:p>
    <w:sectPr w:rsidR="003827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8E2" w:rsidRDefault="00B608E2" w:rsidP="00542EDA">
      <w:r>
        <w:separator/>
      </w:r>
    </w:p>
  </w:endnote>
  <w:endnote w:type="continuationSeparator" w:id="0">
    <w:p w:rsidR="00B608E2" w:rsidRDefault="00B608E2" w:rsidP="0054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8E2" w:rsidRDefault="00B608E2" w:rsidP="00542EDA">
      <w:r>
        <w:separator/>
      </w:r>
    </w:p>
  </w:footnote>
  <w:footnote w:type="continuationSeparator" w:id="0">
    <w:p w:rsidR="00B608E2" w:rsidRDefault="00B608E2" w:rsidP="00542E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1518A2"/>
    <w:multiLevelType w:val="singleLevel"/>
    <w:tmpl w:val="A11518A2"/>
    <w:lvl w:ilvl="0">
      <w:start w:val="1"/>
      <w:numFmt w:val="chineseCounting"/>
      <w:suff w:val="nothing"/>
      <w:lvlText w:val="%1、"/>
      <w:lvlJc w:val="left"/>
      <w:pPr>
        <w:ind w:left="0" w:firstLine="420"/>
      </w:pPr>
      <w:rPr>
        <w:rFonts w:hint="eastAsia"/>
      </w:rPr>
    </w:lvl>
  </w:abstractNum>
  <w:abstractNum w:abstractNumId="1" w15:restartNumberingAfterBreak="0">
    <w:nsid w:val="00000001"/>
    <w:multiLevelType w:val="multilevel"/>
    <w:tmpl w:val="00000001"/>
    <w:lvl w:ilvl="0">
      <w:start w:val="1"/>
      <w:numFmt w:val="decimal"/>
      <w:pStyle w:val="1"/>
      <w:suff w:val="nothing"/>
      <w:lvlText w:val="第 %1 部分 "/>
      <w:lvlJc w:val="left"/>
      <w:rPr>
        <w:rFonts w:ascii="黑体" w:eastAsia="黑体" w:hAnsi="宋体" w:hint="eastAsia"/>
        <w:b/>
        <w:bCs/>
        <w:i w:val="0"/>
        <w:iCs w:val="0"/>
        <w:caps w:val="0"/>
        <w:smallCaps w:val="0"/>
        <w:vanish w:val="0"/>
        <w:spacing w:val="0"/>
        <w:position w:val="0"/>
        <w:u w:val="none"/>
        <w:vertAlign w:val="baseline"/>
      </w:rPr>
    </w:lvl>
    <w:lvl w:ilvl="1">
      <w:start w:val="1"/>
      <w:numFmt w:val="decimal"/>
      <w:pStyle w:val="2"/>
      <w:isLgl/>
      <w:suff w:val="nothing"/>
      <w:lvlText w:val="%1.%2 "/>
      <w:lvlJc w:val="left"/>
      <w:rPr>
        <w:rFonts w:hint="eastAsia"/>
      </w:rPr>
    </w:lvl>
    <w:lvl w:ilvl="2">
      <w:start w:val="1"/>
      <w:numFmt w:val="none"/>
      <w:pStyle w:val="3"/>
      <w:isLgl/>
      <w:suff w:val="nothing"/>
      <w:lvlText w:val=""/>
      <w:lvlJc w:val="left"/>
      <w:rPr>
        <w:rFonts w:ascii="Arial Unicode MS" w:eastAsia="Arial Unicode MS" w:hAnsi="Arial Unicode MS" w:hint="eastAsia"/>
        <w:sz w:val="24"/>
        <w:szCs w:val="24"/>
      </w:rPr>
    </w:lvl>
    <w:lvl w:ilvl="3">
      <w:start w:val="1"/>
      <w:numFmt w:val="none"/>
      <w:isLgl/>
      <w:suff w:val="nothing"/>
      <w:lvlText w:val=""/>
      <w:lvlJc w:val="left"/>
      <w:rPr>
        <w:rFonts w:hint="eastAsia"/>
      </w:rPr>
    </w:lvl>
    <w:lvl w:ilvl="4">
      <w:start w:val="1"/>
      <w:numFmt w:val="decimal"/>
      <w:isLgl/>
      <w:suff w:val="nothing"/>
      <w:lvlText w:val="%1.%2.%3.%4.%5 "/>
      <w:lvlJc w:val="left"/>
      <w:rPr>
        <w:rFonts w:hint="eastAsia"/>
        <w:sz w:val="28"/>
        <w:szCs w:val="28"/>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4D"/>
    <w:rsid w:val="000C054D"/>
    <w:rsid w:val="00382743"/>
    <w:rsid w:val="00451E6A"/>
    <w:rsid w:val="00542EDA"/>
    <w:rsid w:val="007E3739"/>
    <w:rsid w:val="00A80BF6"/>
    <w:rsid w:val="00B6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ACD8C"/>
  <w15:chartTrackingRefBased/>
  <w15:docId w15:val="{A54200E0-8306-480A-A0AE-11909B81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0C054D"/>
    <w:pPr>
      <w:widowControl w:val="0"/>
      <w:jc w:val="both"/>
    </w:pPr>
    <w:rPr>
      <w:rFonts w:ascii="Calibri" w:eastAsia="宋体" w:hAnsi="Calibri" w:cs="Calibri"/>
      <w:szCs w:val="21"/>
    </w:rPr>
  </w:style>
  <w:style w:type="paragraph" w:styleId="1">
    <w:name w:val="heading 1"/>
    <w:basedOn w:val="a"/>
    <w:next w:val="a"/>
    <w:link w:val="10"/>
    <w:autoRedefine/>
    <w:uiPriority w:val="99"/>
    <w:qFormat/>
    <w:rsid w:val="000C054D"/>
    <w:pPr>
      <w:keepNext/>
      <w:numPr>
        <w:numId w:val="1"/>
      </w:numPr>
      <w:spacing w:line="360" w:lineRule="auto"/>
      <w:ind w:firstLineChars="200" w:firstLine="200"/>
      <w:jc w:val="center"/>
      <w:outlineLvl w:val="0"/>
    </w:pPr>
    <w:rPr>
      <w:rFonts w:ascii="楷体_GB2312" w:eastAsia="楷体_GB2312" w:cs="楷体_GB2312"/>
      <w:sz w:val="28"/>
      <w:szCs w:val="28"/>
    </w:rPr>
  </w:style>
  <w:style w:type="paragraph" w:styleId="2">
    <w:name w:val="heading 2"/>
    <w:basedOn w:val="a"/>
    <w:next w:val="a"/>
    <w:link w:val="20"/>
    <w:autoRedefine/>
    <w:uiPriority w:val="99"/>
    <w:qFormat/>
    <w:rsid w:val="000C054D"/>
    <w:pPr>
      <w:keepNext/>
      <w:keepLines/>
      <w:numPr>
        <w:ilvl w:val="1"/>
        <w:numId w:val="1"/>
      </w:numPr>
      <w:spacing w:before="260" w:after="260" w:line="415" w:lineRule="auto"/>
      <w:jc w:val="center"/>
      <w:outlineLvl w:val="1"/>
    </w:pPr>
    <w:rPr>
      <w:rFonts w:ascii="Arial" w:eastAsia="楷体" w:hAnsi="Arial" w:cs="Arial"/>
      <w:b/>
      <w:bCs/>
      <w:sz w:val="72"/>
      <w:szCs w:val="44"/>
    </w:rPr>
  </w:style>
  <w:style w:type="paragraph" w:styleId="3">
    <w:name w:val="heading 3"/>
    <w:basedOn w:val="a"/>
    <w:next w:val="a"/>
    <w:link w:val="30"/>
    <w:autoRedefine/>
    <w:uiPriority w:val="99"/>
    <w:qFormat/>
    <w:rsid w:val="000C054D"/>
    <w:pPr>
      <w:keepNext/>
      <w:keepLines/>
      <w:numPr>
        <w:ilvl w:val="2"/>
        <w:numId w:val="1"/>
      </w:numPr>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0C054D"/>
    <w:rPr>
      <w:rFonts w:ascii="楷体_GB2312" w:eastAsia="楷体_GB2312" w:hAnsi="Calibri" w:cs="楷体_GB2312"/>
      <w:sz w:val="28"/>
      <w:szCs w:val="28"/>
    </w:rPr>
  </w:style>
  <w:style w:type="character" w:customStyle="1" w:styleId="20">
    <w:name w:val="标题 2 字符"/>
    <w:basedOn w:val="a1"/>
    <w:link w:val="2"/>
    <w:uiPriority w:val="99"/>
    <w:qFormat/>
    <w:rsid w:val="000C054D"/>
    <w:rPr>
      <w:rFonts w:ascii="Arial" w:eastAsia="楷体" w:hAnsi="Arial" w:cs="Arial"/>
      <w:b/>
      <w:bCs/>
      <w:sz w:val="72"/>
      <w:szCs w:val="44"/>
    </w:rPr>
  </w:style>
  <w:style w:type="character" w:customStyle="1" w:styleId="30">
    <w:name w:val="标题 3 字符"/>
    <w:basedOn w:val="a1"/>
    <w:link w:val="3"/>
    <w:uiPriority w:val="99"/>
    <w:rsid w:val="000C054D"/>
    <w:rPr>
      <w:rFonts w:ascii="Calibri" w:eastAsia="宋体" w:hAnsi="Calibri" w:cs="Calibri"/>
      <w:b/>
      <w:bCs/>
      <w:sz w:val="32"/>
      <w:szCs w:val="32"/>
    </w:rPr>
  </w:style>
  <w:style w:type="paragraph" w:customStyle="1" w:styleId="a4">
    <w:name w:val="报告正文"/>
    <w:basedOn w:val="a"/>
    <w:autoRedefine/>
    <w:qFormat/>
    <w:rsid w:val="000C054D"/>
    <w:pPr>
      <w:adjustRightInd w:val="0"/>
      <w:snapToGrid w:val="0"/>
      <w:ind w:firstLineChars="200" w:firstLine="560"/>
    </w:pPr>
    <w:rPr>
      <w:kern w:val="0"/>
      <w:szCs w:val="20"/>
      <w:lang w:val="zh-CN"/>
    </w:rPr>
  </w:style>
  <w:style w:type="paragraph" w:styleId="a5">
    <w:name w:val="List Paragraph"/>
    <w:basedOn w:val="a"/>
    <w:autoRedefine/>
    <w:uiPriority w:val="34"/>
    <w:qFormat/>
    <w:rsid w:val="000C054D"/>
    <w:pPr>
      <w:ind w:firstLineChars="200" w:firstLine="420"/>
    </w:pPr>
  </w:style>
  <w:style w:type="paragraph" w:styleId="a0">
    <w:name w:val="Salutation"/>
    <w:basedOn w:val="a"/>
    <w:next w:val="a"/>
    <w:link w:val="a6"/>
    <w:uiPriority w:val="99"/>
    <w:semiHidden/>
    <w:unhideWhenUsed/>
    <w:rsid w:val="000C054D"/>
  </w:style>
  <w:style w:type="character" w:customStyle="1" w:styleId="a6">
    <w:name w:val="称呼 字符"/>
    <w:basedOn w:val="a1"/>
    <w:link w:val="a0"/>
    <w:uiPriority w:val="99"/>
    <w:semiHidden/>
    <w:rsid w:val="000C054D"/>
    <w:rPr>
      <w:rFonts w:ascii="Calibri" w:eastAsia="宋体" w:hAnsi="Calibri" w:cs="Calibri"/>
      <w:szCs w:val="21"/>
    </w:rPr>
  </w:style>
  <w:style w:type="paragraph" w:styleId="a7">
    <w:name w:val="header"/>
    <w:basedOn w:val="a"/>
    <w:link w:val="a8"/>
    <w:uiPriority w:val="99"/>
    <w:unhideWhenUsed/>
    <w:rsid w:val="00542ED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542EDA"/>
    <w:rPr>
      <w:rFonts w:ascii="Calibri" w:eastAsia="宋体" w:hAnsi="Calibri" w:cs="Calibri"/>
      <w:sz w:val="18"/>
      <w:szCs w:val="18"/>
    </w:rPr>
  </w:style>
  <w:style w:type="paragraph" w:styleId="a9">
    <w:name w:val="footer"/>
    <w:basedOn w:val="a"/>
    <w:link w:val="aa"/>
    <w:uiPriority w:val="99"/>
    <w:unhideWhenUsed/>
    <w:rsid w:val="00542EDA"/>
    <w:pPr>
      <w:tabs>
        <w:tab w:val="center" w:pos="4153"/>
        <w:tab w:val="right" w:pos="8306"/>
      </w:tabs>
      <w:snapToGrid w:val="0"/>
      <w:jc w:val="left"/>
    </w:pPr>
    <w:rPr>
      <w:sz w:val="18"/>
      <w:szCs w:val="18"/>
    </w:rPr>
  </w:style>
  <w:style w:type="character" w:customStyle="1" w:styleId="aa">
    <w:name w:val="页脚 字符"/>
    <w:basedOn w:val="a1"/>
    <w:link w:val="a9"/>
    <w:uiPriority w:val="99"/>
    <w:rsid w:val="00542EDA"/>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2025-05-12T02:41:00Z</dcterms:created>
  <dcterms:modified xsi:type="dcterms:W3CDTF">2026-04-17T01:28:00Z</dcterms:modified>
</cp:coreProperties>
</file>