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00" w:lineRule="exact"/>
        <w:jc w:val="both"/>
        <w:rPr>
          <w:rFonts w:ascii="仿宋" w:hAnsi="仿宋" w:eastAsia="仿宋"/>
          <w:sz w:val="32"/>
          <w:szCs w:val="32"/>
        </w:rPr>
      </w:pPr>
      <w:r>
        <w:rPr>
          <w:rFonts w:hint="eastAsia" w:ascii="仿宋" w:hAnsi="仿宋" w:eastAsia="仿宋"/>
          <w:sz w:val="32"/>
          <w:szCs w:val="32"/>
        </w:rPr>
        <w:t>附件:</w:t>
      </w:r>
      <w:bookmarkStart w:id="0" w:name="_GoBack"/>
      <w:bookmarkEnd w:id="0"/>
    </w:p>
    <w:tbl>
      <w:tblPr>
        <w:tblStyle w:val="4"/>
        <w:tblW w:w="13728" w:type="dxa"/>
        <w:jc w:val="center"/>
        <w:tblInd w:w="0" w:type="dxa"/>
        <w:tblLayout w:type="fixed"/>
        <w:tblCellMar>
          <w:top w:w="15" w:type="dxa"/>
          <w:left w:w="15" w:type="dxa"/>
          <w:bottom w:w="15" w:type="dxa"/>
          <w:right w:w="15" w:type="dxa"/>
        </w:tblCellMar>
      </w:tblPr>
      <w:tblGrid>
        <w:gridCol w:w="13728"/>
      </w:tblGrid>
      <w:tr>
        <w:tblPrEx>
          <w:tblLayout w:type="fixed"/>
          <w:tblCellMar>
            <w:top w:w="15" w:type="dxa"/>
            <w:left w:w="15" w:type="dxa"/>
            <w:bottom w:w="15" w:type="dxa"/>
            <w:right w:w="15" w:type="dxa"/>
          </w:tblCellMar>
        </w:tblPrEx>
        <w:trPr>
          <w:trHeight w:val="423" w:hRule="atLeast"/>
          <w:jc w:val="center"/>
        </w:trPr>
        <w:tc>
          <w:tcPr>
            <w:tcW w:w="13728" w:type="dxa"/>
            <w:shd w:val="clear" w:color="auto" w:fill="auto"/>
            <w:vAlign w:val="center"/>
          </w:tcPr>
          <w:p>
            <w:pPr>
              <w:spacing w:line="400" w:lineRule="exact"/>
              <w:jc w:val="center"/>
              <w:rPr>
                <w:rFonts w:ascii="宋体" w:hAnsi="宋体"/>
                <w:sz w:val="21"/>
                <w:szCs w:val="21"/>
              </w:rPr>
            </w:pPr>
            <w:r>
              <w:rPr>
                <w:rFonts w:hint="eastAsia" w:ascii="仿宋_GB2312" w:hAnsi="宋体" w:cs="宋体"/>
                <w:b/>
                <w:color w:val="000000"/>
                <w:kern w:val="0"/>
                <w:sz w:val="36"/>
                <w:szCs w:val="36"/>
                <w:lang w:eastAsia="zh-Hans"/>
              </w:rPr>
              <w:t>安全隐患</w:t>
            </w:r>
            <w:r>
              <w:rPr>
                <w:rFonts w:hint="eastAsia" w:ascii="仿宋_GB2312" w:hAnsi="宋体" w:cs="宋体"/>
                <w:b/>
                <w:color w:val="000000"/>
                <w:kern w:val="0"/>
                <w:sz w:val="36"/>
                <w:szCs w:val="36"/>
              </w:rPr>
              <w:t>排</w:t>
            </w:r>
            <w:r>
              <w:rPr>
                <w:rFonts w:hint="eastAsia" w:ascii="仿宋_GB2312" w:hAnsi="宋体" w:cs="宋体"/>
                <w:b/>
                <w:color w:val="000000"/>
                <w:kern w:val="0"/>
                <w:sz w:val="36"/>
                <w:szCs w:val="36"/>
                <w:lang w:eastAsia="zh-Hans"/>
              </w:rPr>
              <w:t>查</w:t>
            </w:r>
            <w:r>
              <w:rPr>
                <w:rFonts w:hint="eastAsia" w:ascii="仿宋_GB2312" w:hAnsi="宋体" w:cs="宋体"/>
                <w:b/>
                <w:color w:val="000000"/>
                <w:kern w:val="0"/>
                <w:sz w:val="36"/>
                <w:szCs w:val="36"/>
              </w:rPr>
              <w:t>整改情况汇总</w:t>
            </w:r>
            <w:r>
              <w:rPr>
                <w:rFonts w:hint="eastAsia" w:ascii="仿宋_GB2312" w:hAnsi="宋体" w:cs="宋体"/>
                <w:b/>
                <w:color w:val="000000"/>
                <w:kern w:val="0"/>
                <w:sz w:val="36"/>
                <w:szCs w:val="36"/>
                <w:lang w:eastAsia="zh-Hans"/>
              </w:rPr>
              <w:t>表</w:t>
            </w:r>
          </w:p>
          <w:p>
            <w:pPr>
              <w:spacing w:before="421" w:beforeLines="100" w:line="400" w:lineRule="exact"/>
              <w:ind w:firstLine="840" w:firstLineChars="400"/>
              <w:rPr>
                <w:rFonts w:ascii="宋体" w:hAnsi="宋体"/>
                <w:sz w:val="21"/>
                <w:szCs w:val="21"/>
              </w:rPr>
            </w:pPr>
            <w:r>
              <w:rPr>
                <w:rFonts w:hint="eastAsia" w:ascii="宋体" w:hAnsi="宋体"/>
                <w:sz w:val="21"/>
                <w:szCs w:val="21"/>
              </w:rPr>
              <w:t>二级单位、部门（盖章）</w:t>
            </w:r>
            <w:r>
              <w:rPr>
                <w:rFonts w:hint="eastAsia" w:ascii="宋体" w:hAnsi="宋体" w:cs="宋体"/>
                <w:color w:val="000000"/>
                <w:kern w:val="0"/>
                <w:sz w:val="21"/>
                <w:szCs w:val="21"/>
              </w:rPr>
              <w:t>：</w:t>
            </w:r>
            <w:r>
              <w:rPr>
                <w:rFonts w:hint="eastAsia" w:ascii="宋体" w:hAnsi="宋体" w:cs="宋体"/>
                <w:color w:val="000000"/>
                <w:kern w:val="0"/>
                <w:sz w:val="21"/>
                <w:szCs w:val="21"/>
                <w:u w:val="single"/>
                <w:lang w:eastAsia="zh-Hans"/>
              </w:rPr>
              <w:t xml:space="preserve">            </w:t>
            </w:r>
            <w:r>
              <w:rPr>
                <w:rFonts w:hint="eastAsia" w:ascii="宋体" w:hAnsi="宋体" w:cs="宋体"/>
                <w:color w:val="000000"/>
                <w:kern w:val="0"/>
                <w:sz w:val="21"/>
                <w:szCs w:val="21"/>
                <w:u w:val="single"/>
              </w:rPr>
              <w:t xml:space="preserve">       </w:t>
            </w:r>
            <w:r>
              <w:rPr>
                <w:rFonts w:hint="eastAsia" w:ascii="宋体" w:hAnsi="宋体" w:cs="宋体"/>
                <w:color w:val="000000"/>
                <w:kern w:val="0"/>
                <w:sz w:val="21"/>
                <w:szCs w:val="21"/>
              </w:rPr>
              <w:t xml:space="preserve">   </w:t>
            </w:r>
            <w:r>
              <w:rPr>
                <w:rFonts w:hint="eastAsia" w:ascii="宋体" w:hAnsi="宋体"/>
                <w:sz w:val="21"/>
                <w:szCs w:val="21"/>
              </w:rPr>
              <w:t>二级单位、部门责任人签字：</w:t>
            </w:r>
            <w:r>
              <w:rPr>
                <w:rFonts w:hint="eastAsia" w:ascii="宋体" w:hAnsi="宋体"/>
                <w:sz w:val="21"/>
                <w:szCs w:val="21"/>
                <w:u w:val="single"/>
              </w:rPr>
              <w:t xml:space="preserve">              </w:t>
            </w:r>
            <w:r>
              <w:rPr>
                <w:rFonts w:hint="eastAsia" w:ascii="宋体" w:hAnsi="宋体"/>
                <w:sz w:val="21"/>
                <w:szCs w:val="21"/>
              </w:rPr>
              <w:t xml:space="preserve">   填表时间：</w:t>
            </w:r>
            <w:r>
              <w:rPr>
                <w:sz w:val="21"/>
                <w:szCs w:val="21"/>
              </w:rPr>
              <w:t>2019</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tbl>
            <w:tblPr>
              <w:tblStyle w:val="4"/>
              <w:tblW w:w="1228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766"/>
              <w:gridCol w:w="4202"/>
              <w:gridCol w:w="4536"/>
              <w:gridCol w:w="21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blHeader/>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s="宋体"/>
                      <w:b/>
                      <w:bCs/>
                      <w:kern w:val="0"/>
                      <w:sz w:val="21"/>
                      <w:szCs w:val="21"/>
                    </w:rPr>
                  </w:pPr>
                  <w:r>
                    <w:rPr>
                      <w:rFonts w:hint="eastAsia" w:ascii="仿宋_GB2312" w:hAnsi="宋体" w:cs="宋体"/>
                      <w:b/>
                      <w:bCs/>
                      <w:kern w:val="0"/>
                      <w:sz w:val="21"/>
                      <w:szCs w:val="21"/>
                    </w:rPr>
                    <w:t>序号</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s="Arial"/>
                      <w:kern w:val="0"/>
                      <w:sz w:val="21"/>
                      <w:szCs w:val="21"/>
                    </w:rPr>
                  </w:pPr>
                  <w:r>
                    <w:rPr>
                      <w:rFonts w:hint="eastAsia" w:ascii="仿宋_GB2312" w:hAnsi="宋体" w:cs="宋体"/>
                      <w:b/>
                      <w:bCs/>
                      <w:kern w:val="0"/>
                      <w:sz w:val="21"/>
                      <w:szCs w:val="21"/>
                    </w:rPr>
                    <w:t>分类</w:t>
                  </w: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s="Arial"/>
                      <w:kern w:val="0"/>
                      <w:sz w:val="21"/>
                      <w:szCs w:val="21"/>
                    </w:rPr>
                  </w:pPr>
                  <w:r>
                    <w:rPr>
                      <w:rFonts w:hint="eastAsia" w:ascii="仿宋_GB2312" w:hAnsi="宋体" w:cs="宋体"/>
                      <w:b/>
                      <w:bCs/>
                      <w:kern w:val="0"/>
                      <w:sz w:val="21"/>
                      <w:szCs w:val="21"/>
                    </w:rPr>
                    <w:t>检查项目</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s="Arial"/>
                      <w:kern w:val="0"/>
                      <w:sz w:val="21"/>
                      <w:szCs w:val="21"/>
                    </w:rPr>
                  </w:pPr>
                  <w:r>
                    <w:rPr>
                      <w:rFonts w:hint="eastAsia" w:ascii="仿宋_GB2312" w:hAnsi="宋体" w:cs="宋体"/>
                      <w:bCs/>
                      <w:kern w:val="0"/>
                      <w:sz w:val="21"/>
                      <w:szCs w:val="21"/>
                    </w:rPr>
                    <w:t>检查结果及整改方案</w:t>
                  </w: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仿宋_GB2312" w:hAnsi="宋体" w:cs="宋体"/>
                      <w:bCs/>
                      <w:kern w:val="0"/>
                      <w:sz w:val="21"/>
                      <w:szCs w:val="21"/>
                    </w:rPr>
                  </w:pPr>
                  <w:r>
                    <w:rPr>
                      <w:rFonts w:hint="eastAsia" w:ascii="仿宋_GB2312" w:hAnsi="宋体" w:cs="宋体"/>
                      <w:bCs/>
                      <w:kern w:val="0"/>
                      <w:sz w:val="21"/>
                      <w:szCs w:val="21"/>
                    </w:rPr>
                    <w:t>责任分工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一</w:t>
                  </w:r>
                </w:p>
              </w:tc>
              <w:tc>
                <w:tcPr>
                  <w:tcW w:w="766" w:type="dxa"/>
                  <w:vMerge w:val="restart"/>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安全</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责任</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落实</w:t>
                  </w: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是否贯彻落实校园安全隐患排查整改工作部署与要求。</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各级安全责任人和岗位职责是否明确，安全检查工作是否落实。</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二</w:t>
                  </w:r>
                </w:p>
              </w:tc>
              <w:tc>
                <w:tcPr>
                  <w:tcW w:w="766" w:type="dxa"/>
                  <w:vMerge w:val="restart"/>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治安</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防范</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措施</w:t>
                  </w:r>
                </w:p>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实验室、计算机房、学生宿舍、办公室、会议室等重点部位安全管理责任人是否明确；是否落实安全管理措施。</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实验室、学生宿舍、办公室等重点场所门窗锁具是否完好；房间无人时门窗是否上锁；是否存在其他安全漏洞。</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学生宿舍、教室、食堂和图书馆等场所有无开展防盗专项提醒等安全教育工作。</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学生工作处</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后勤管理处</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图书馆</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学生宿舍物业管理各项规章制度是否健全，是否做到了专业化、规范化、制度化和常态化。</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学生工作处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学生宿舍来访人员是否予以了登记，大件物品出门是否予以了登记，钥匙借用是否予以登记，维修是否及时；宿舍内是否存在管制刀具或其他违禁品。</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学生工作处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学生夜不归宿情况是否及时掌握，学生动态信息是否及时了解和反馈。</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学生工作处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校内工程施工、生产现场、生活区域是否与校园隔离；有关防护措施是否落实。</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基建处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所聘用外来务工人员有无到所辖派出所办理居住证；有无主动向保卫处报备。</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涉及治安交通管理的各项规定是否传达到师生员工；是否落实到位。</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是否存在校园内养狗情况。</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restart"/>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三</w:t>
                  </w:r>
                </w:p>
              </w:tc>
              <w:tc>
                <w:tcPr>
                  <w:tcW w:w="766" w:type="dxa"/>
                  <w:vMerge w:val="restart"/>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消防</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安全</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措施</w:t>
                  </w: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消防工作档案、消防管理制度制定是否完善；消防安全培训、消防安全专题讲座、消防演练是否正常开展；教职工义务消防员、大学生消防志愿者是否组织开展活动。</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是否存在封堵、占用消防疏散通道和锁闭、遮挡安全出口的。</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2" w:hRule="atLeast"/>
                <w:jc w:val="center"/>
              </w:trPr>
              <w:tc>
                <w:tcPr>
                  <w:tcW w:w="664"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 xml:space="preserve">消防设施和灭火器材是否配备齐全。缺失设施是否已上报。 </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664"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是否存在建筑公共区域外安装影响人员逃生和应急救援金属护栏的。</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5"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是否存在违章使用电器（特别是劣质电器和“热得快”）、私拉乱接电气线路的。</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6"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pStyle w:val="2"/>
                    <w:shd w:val="clear" w:color="auto" w:fill="FFFFFF"/>
                    <w:spacing w:before="0" w:beforeAutospacing="0" w:after="0" w:afterAutospacing="0" w:line="340" w:lineRule="exact"/>
                    <w:rPr>
                      <w:rFonts w:ascii="Arial" w:hAnsi="Arial" w:cs="Arial"/>
                      <w:sz w:val="18"/>
                      <w:szCs w:val="18"/>
                    </w:rPr>
                  </w:pPr>
                  <w:r>
                    <w:rPr>
                      <w:rFonts w:hint="eastAsia" w:ascii="仿宋_GB2312" w:eastAsia="仿宋_GB2312"/>
                      <w:sz w:val="21"/>
                      <w:szCs w:val="21"/>
                    </w:rPr>
                    <w:t>是否存在灭火器遗失、失效及消火栓、自动灭火报警系统、疏散指</w:t>
                  </w:r>
                  <w:r>
                    <w:rPr>
                      <w:rFonts w:ascii="Times New Roman" w:hAnsi="Times New Roman" w:eastAsia="仿宋_GB2312" w:cs="Times New Roman"/>
                      <w:sz w:val="21"/>
                      <w:szCs w:val="21"/>
                    </w:rPr>
                    <w:t>示标志、应急照明和应急广播等消防设施器材损坏等情况。干粉/二氧化碳灭火器的维修期限出厂期满5年;首次维修以后每满2年。</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食堂、商业网点消防安全设施是否齐全；是否建立定期清理油烟通道记录档案。</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left"/>
                    <w:rPr>
                      <w:rFonts w:ascii="仿宋_GB2312" w:hAnsi="宋体" w:cs="Arial"/>
                      <w:kern w:val="0"/>
                      <w:sz w:val="21"/>
                      <w:szCs w:val="21"/>
                    </w:rPr>
                  </w:pPr>
                </w:p>
                <w:p>
                  <w:pPr>
                    <w:snapToGrid w:val="0"/>
                    <w:spacing w:line="340" w:lineRule="exact"/>
                    <w:jc w:val="left"/>
                    <w:rPr>
                      <w:rFonts w:ascii="仿宋_GB2312" w:hAnsi="宋体" w:cs="Arial"/>
                      <w:kern w:val="0"/>
                      <w:sz w:val="21"/>
                      <w:szCs w:val="21"/>
                    </w:rPr>
                  </w:pPr>
                </w:p>
                <w:p>
                  <w:pPr>
                    <w:snapToGrid w:val="0"/>
                    <w:spacing w:line="340" w:lineRule="exact"/>
                    <w:jc w:val="left"/>
                    <w:rPr>
                      <w:rFonts w:ascii="仿宋_GB2312" w:hAnsi="宋体" w:cs="Arial"/>
                      <w:kern w:val="0"/>
                      <w:sz w:val="21"/>
                      <w:szCs w:val="21"/>
                    </w:rPr>
                  </w:pPr>
                </w:p>
                <w:p>
                  <w:pPr>
                    <w:snapToGrid w:val="0"/>
                    <w:spacing w:line="340" w:lineRule="exact"/>
                    <w:jc w:val="left"/>
                    <w:rPr>
                      <w:rFonts w:hint="eastAsia"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资产经营管理办公室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64" w:type="dxa"/>
                  <w:vMerge w:val="restart"/>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四</w:t>
                  </w:r>
                </w:p>
              </w:tc>
              <w:tc>
                <w:tcPr>
                  <w:tcW w:w="766" w:type="dxa"/>
                  <w:vMerge w:val="restart"/>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食品</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药品</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安全</w:t>
                  </w: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 xml:space="preserve">食品的购买、运输、储存、加工是否符合卫生标准和有关要求。 </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资产经营管理办公室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64"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是否定期或不定期抽查食品安全并有完整记录；是否坚持执行食品留样制度。</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资产经营管理办公室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64"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食堂、商业网点等承包经营户是否取得了食品经营相关许可证和资质；对承包经营户是否落实了食品安全责任（签订安全责任书）。</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资产经营管理办公室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64"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从业人员有无健康管理制度，是否做到了100%持健康证上岗；个人穿戴是否符合有关卫生要求；是否建立“实名晨检制度”，并有完整记录；医用、食品加工设备是否严格执行消毒制度；</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资产经营管理办公室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锅炉房、蒸气管道等设施设备是否符合安全及卫生要求；是否做到定期检查。食堂、餐饮类</w:t>
                  </w:r>
                  <w:r>
                    <w:rPr>
                      <w:rFonts w:ascii="仿宋_GB2312" w:hAnsi="宋体" w:cs="宋体"/>
                      <w:kern w:val="0"/>
                      <w:sz w:val="21"/>
                      <w:szCs w:val="21"/>
                    </w:rPr>
                    <w:t>门面房</w:t>
                  </w:r>
                  <w:r>
                    <w:rPr>
                      <w:rFonts w:hint="eastAsia" w:ascii="仿宋_GB2312" w:hAnsi="宋体" w:cs="宋体"/>
                      <w:kern w:val="0"/>
                      <w:sz w:val="21"/>
                      <w:szCs w:val="21"/>
                    </w:rPr>
                    <w:t>烟道是否定期清洗并提供清洗发票。</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资产经营管理办公室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是否对校医务室药品采购质量把关；药品是否符合安全标准；传染病疫情预防、监控及报告制度是否落实。</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Arial"/>
                      <w:kern w:val="0"/>
                      <w:sz w:val="21"/>
                      <w:szCs w:val="21"/>
                    </w:rPr>
                    <w:t>后勤管理处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1" w:hRule="atLeast"/>
                <w:jc w:val="center"/>
              </w:trPr>
              <w:tc>
                <w:tcPr>
                  <w:tcW w:w="664" w:type="dxa"/>
                  <w:vMerge w:val="restart"/>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五</w:t>
                  </w:r>
                </w:p>
              </w:tc>
              <w:tc>
                <w:tcPr>
                  <w:tcW w:w="766" w:type="dxa"/>
                  <w:vMerge w:val="restart"/>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安全</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教育</w:t>
                  </w:r>
                </w:p>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宣传</w:t>
                  </w: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是否开设安全教育主题班会，告知学生校园多发治安问题和消防逃生救援常识，提高学生安全防范意识。</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1" w:hRule="atLeast"/>
                <w:jc w:val="center"/>
              </w:trPr>
              <w:tc>
                <w:tcPr>
                  <w:tcW w:w="664"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是否开展防诈骗专题安全教育活动。</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1" w:hRule="atLeast"/>
                <w:jc w:val="center"/>
              </w:trPr>
              <w:tc>
                <w:tcPr>
                  <w:tcW w:w="664"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766" w:type="dxa"/>
                  <w:vMerge w:val="continue"/>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教职工义务消防员和大学生消防志愿者是否建立并符合学校规范要求，</w:t>
                  </w:r>
                  <w:r>
                    <w:rPr>
                      <w:rFonts w:ascii="仿宋_GB2312" w:hAnsi="宋体" w:cs="宋体"/>
                      <w:kern w:val="0"/>
                      <w:sz w:val="21"/>
                      <w:szCs w:val="21"/>
                    </w:rPr>
                    <w:t>是否</w:t>
                  </w:r>
                  <w:r>
                    <w:rPr>
                      <w:rFonts w:hint="eastAsia" w:ascii="仿宋_GB2312" w:hAnsi="宋体" w:cs="宋体"/>
                      <w:kern w:val="0"/>
                      <w:sz w:val="21"/>
                      <w:szCs w:val="21"/>
                    </w:rPr>
                    <w:t>参加过相关消防活动。</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是否加强交通安全教育和管理，不断提高所属师生员工道路交通安全意识，防止交通安全事故发生。</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是否加强对本单位师生员工的思想教育和心理健康辅导。</w:t>
                  </w:r>
                </w:p>
              </w:tc>
              <w:tc>
                <w:tcPr>
                  <w:tcW w:w="4536" w:type="dxa"/>
                  <w:tcBorders>
                    <w:top w:val="single" w:color="auto" w:sz="4" w:space="0"/>
                    <w:left w:val="single" w:color="auto" w:sz="4" w:space="0"/>
                    <w:bottom w:val="single" w:color="auto" w:sz="4" w:space="0"/>
                    <w:right w:val="single" w:color="auto" w:sz="4" w:space="0"/>
                  </w:tcBorders>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vMerge w:val="continue"/>
                  <w:tcBorders>
                    <w:left w:val="single" w:color="auto" w:sz="4" w:space="0"/>
                    <w:right w:val="single" w:color="auto" w:sz="4" w:space="0"/>
                  </w:tcBorders>
                  <w:vAlign w:val="center"/>
                </w:tcPr>
                <w:p>
                  <w:pPr>
                    <w:widowControl/>
                    <w:spacing w:line="340" w:lineRule="exact"/>
                    <w:jc w:val="center"/>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pacing w:line="340" w:lineRule="exact"/>
                    <w:jc w:val="left"/>
                    <w:rPr>
                      <w:rFonts w:ascii="仿宋_GB2312" w:hAnsi="宋体" w:cs="Arial"/>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校内大型活动组织管理措施是否得力；师生集体外出活动是否按规定程序办理。</w:t>
                  </w:r>
                </w:p>
              </w:tc>
              <w:tc>
                <w:tcPr>
                  <w:tcW w:w="4536" w:type="dxa"/>
                  <w:tcBorders>
                    <w:top w:val="single" w:color="auto" w:sz="4" w:space="0"/>
                    <w:left w:val="single" w:color="auto" w:sz="4" w:space="0"/>
                    <w:bottom w:val="single" w:color="auto" w:sz="4" w:space="0"/>
                    <w:right w:val="single" w:color="auto" w:sz="4" w:space="0"/>
                  </w:tcBorders>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vMerge w:val="continue"/>
                  <w:tcBorders>
                    <w:left w:val="single" w:color="auto" w:sz="4" w:space="0"/>
                    <w:right w:val="single" w:color="auto" w:sz="4" w:space="0"/>
                  </w:tcBorders>
                  <w:vAlign w:val="center"/>
                </w:tcPr>
                <w:p>
                  <w:pPr>
                    <w:spacing w:line="340" w:lineRule="exact"/>
                    <w:rPr>
                      <w:rFonts w:ascii="仿宋_GB2312" w:hAnsi="宋体" w:cs="Arial"/>
                      <w:kern w:val="0"/>
                      <w:sz w:val="21"/>
                      <w:szCs w:val="21"/>
                    </w:rPr>
                  </w:pPr>
                </w:p>
              </w:tc>
              <w:tc>
                <w:tcPr>
                  <w:tcW w:w="766" w:type="dxa"/>
                  <w:vMerge w:val="continue"/>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是否积极参与学校组织的相关安全教育、消防与应急救援演练活动。</w:t>
                  </w:r>
                </w:p>
              </w:tc>
              <w:tc>
                <w:tcPr>
                  <w:tcW w:w="4536" w:type="dxa"/>
                  <w:tcBorders>
                    <w:top w:val="single" w:color="auto" w:sz="4" w:space="0"/>
                    <w:left w:val="single" w:color="auto" w:sz="4" w:space="0"/>
                    <w:bottom w:val="single" w:color="auto" w:sz="4" w:space="0"/>
                    <w:right w:val="single" w:color="auto" w:sz="4" w:space="0"/>
                  </w:tcBorders>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Arial"/>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5" w:hRule="atLeast"/>
                <w:jc w:val="center"/>
              </w:trPr>
              <w:tc>
                <w:tcPr>
                  <w:tcW w:w="664" w:type="dxa"/>
                  <w:tcBorders>
                    <w:left w:val="single" w:color="auto" w:sz="4" w:space="0"/>
                    <w:right w:val="single" w:color="auto" w:sz="4" w:space="0"/>
                  </w:tcBorders>
                  <w:vAlign w:val="center"/>
                </w:tcPr>
                <w:p>
                  <w:pPr>
                    <w:spacing w:line="340" w:lineRule="exact"/>
                    <w:rPr>
                      <w:rFonts w:ascii="仿宋_GB2312" w:hAnsi="宋体" w:cs="Arial"/>
                      <w:kern w:val="0"/>
                      <w:sz w:val="21"/>
                      <w:szCs w:val="21"/>
                    </w:rPr>
                  </w:pPr>
                </w:p>
              </w:tc>
              <w:tc>
                <w:tcPr>
                  <w:tcW w:w="766" w:type="dxa"/>
                  <w:tcBorders>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r>
                    <w:rPr>
                      <w:rFonts w:hint="eastAsia" w:ascii="仿宋_GB2312" w:hAnsi="宋体" w:cs="宋体"/>
                      <w:kern w:val="0"/>
                      <w:sz w:val="21"/>
                      <w:szCs w:val="21"/>
                    </w:rPr>
                    <w:t>治安事件、群体性事件、公共卫生、心理干预、灾害性天气等应急事件的处置预案是否完备，是否进行过相应演练。</w:t>
                  </w:r>
                </w:p>
              </w:tc>
              <w:tc>
                <w:tcPr>
                  <w:tcW w:w="4536" w:type="dxa"/>
                  <w:tcBorders>
                    <w:top w:val="single" w:color="auto" w:sz="4" w:space="0"/>
                    <w:left w:val="single" w:color="auto" w:sz="4" w:space="0"/>
                    <w:bottom w:val="single" w:color="auto" w:sz="4" w:space="0"/>
                    <w:right w:val="single" w:color="auto" w:sz="4" w:space="0"/>
                  </w:tcBorders>
                </w:tcPr>
                <w:p>
                  <w:pPr>
                    <w:widowControl/>
                    <w:snapToGrid w:val="0"/>
                    <w:spacing w:line="340" w:lineRule="exact"/>
                    <w:jc w:val="center"/>
                    <w:rPr>
                      <w:rFonts w:ascii="仿宋_GB2312" w:hAnsi="宋体" w:cs="Arial"/>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各单位（部门）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36" w:hRule="atLeast"/>
                <w:jc w:val="center"/>
              </w:trPr>
              <w:tc>
                <w:tcPr>
                  <w:tcW w:w="664" w:type="dxa"/>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六</w:t>
                  </w:r>
                </w:p>
              </w:tc>
              <w:tc>
                <w:tcPr>
                  <w:tcW w:w="766" w:type="dxa"/>
                  <w:tcBorders>
                    <w:top w:val="single" w:color="auto" w:sz="4" w:space="0"/>
                    <w:left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其它</w:t>
                  </w:r>
                </w:p>
                <w:p>
                  <w:pPr>
                    <w:widowControl/>
                    <w:snapToGrid w:val="0"/>
                    <w:spacing w:line="340" w:lineRule="exact"/>
                    <w:jc w:val="center"/>
                    <w:rPr>
                      <w:rFonts w:ascii="仿宋_GB2312" w:hAnsi="宋体" w:cs="宋体"/>
                      <w:kern w:val="0"/>
                      <w:sz w:val="21"/>
                      <w:szCs w:val="21"/>
                    </w:rPr>
                  </w:pPr>
                  <w:r>
                    <w:rPr>
                      <w:rFonts w:hint="eastAsia" w:ascii="仿宋_GB2312" w:hAnsi="宋体" w:cs="宋体"/>
                      <w:kern w:val="0"/>
                      <w:sz w:val="21"/>
                      <w:szCs w:val="21"/>
                    </w:rPr>
                    <w:t>安全隐患</w:t>
                  </w:r>
                </w:p>
              </w:tc>
              <w:tc>
                <w:tcPr>
                  <w:tcW w:w="4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rPr>
                      <w:rFonts w:ascii="仿宋_GB2312" w:hAnsi="宋体" w:cs="宋体"/>
                      <w:kern w:val="0"/>
                      <w:sz w:val="21"/>
                      <w:szCs w:val="21"/>
                    </w:rPr>
                  </w:pPr>
                </w:p>
              </w:tc>
              <w:tc>
                <w:tcPr>
                  <w:tcW w:w="4536"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c>
                <w:tcPr>
                  <w:tcW w:w="2114" w:type="dxa"/>
                  <w:tcBorders>
                    <w:top w:val="single" w:color="auto" w:sz="4" w:space="0"/>
                    <w:left w:val="single" w:color="auto" w:sz="4" w:space="0"/>
                    <w:bottom w:val="single" w:color="auto" w:sz="4" w:space="0"/>
                    <w:right w:val="single" w:color="auto" w:sz="4" w:space="0"/>
                  </w:tcBorders>
                  <w:vAlign w:val="center"/>
                </w:tcPr>
                <w:p>
                  <w:pPr>
                    <w:widowControl/>
                    <w:snapToGrid w:val="0"/>
                    <w:spacing w:line="340" w:lineRule="exact"/>
                    <w:jc w:val="center"/>
                    <w:rPr>
                      <w:rFonts w:ascii="仿宋_GB2312" w:hAnsi="宋体" w:cs="宋体"/>
                      <w:kern w:val="0"/>
                      <w:sz w:val="21"/>
                      <w:szCs w:val="21"/>
                    </w:rPr>
                  </w:pPr>
                </w:p>
              </w:tc>
            </w:tr>
          </w:tbl>
          <w:p>
            <w:pPr>
              <w:spacing w:after="105" w:afterLines="25" w:line="400" w:lineRule="exact"/>
              <w:ind w:left="675" w:leftChars="225" w:right="603" w:rightChars="201"/>
              <w:rPr>
                <w:rFonts w:ascii="宋体" w:hAnsi="宋体"/>
                <w:sz w:val="24"/>
              </w:rPr>
            </w:pPr>
            <w:r>
              <w:rPr>
                <w:rFonts w:hint="eastAsia" w:ascii="宋体" w:hAnsi="宋体"/>
                <w:sz w:val="24"/>
              </w:rPr>
              <w:t>填写说明：请各单位（部门）对照所涉及的检查项目如实填写，在检查中发现未列入检查项目的安全隐患填写在第六项中，重大隐患应立即上报相关部门。需要整改的要列明整改方案（可另附页），方案内容要明确整改措施和整改完成的时限。</w:t>
            </w:r>
          </w:p>
        </w:tc>
      </w:tr>
    </w:tbl>
    <w:p>
      <w:pPr>
        <w:rPr>
          <w:rFonts w:hint="eastAsia" w:eastAsia="仿宋_GB2312"/>
          <w:lang w:val="en-US" w:eastAsia="zh-CN"/>
        </w:rPr>
      </w:pPr>
    </w:p>
    <w:sectPr>
      <w:pgSz w:w="16838" w:h="11906" w:orient="landscape"/>
      <w:pgMar w:top="680" w:right="1440" w:bottom="680" w:left="1440" w:header="851" w:footer="992" w:gutter="0"/>
      <w:paperSrc/>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33B6C"/>
    <w:rsid w:val="79E3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2019-03-26T00:35:00Z</dcterms:created>
  <dc:creator>LYZ</dc:creator>
  <cp:lastModifiedBy>LYZ</cp:lastModifiedBy>
  <dcterms:modified xsi:type="dcterms:W3CDTF">2019-03-26T00:38:54Z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